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BCE" w:rsidRDefault="00276E9F" w:rsidP="00276E9F">
      <w:pPr>
        <w:spacing w:after="120" w:line="240" w:lineRule="auto"/>
        <w:jc w:val="center"/>
        <w:rPr>
          <w:b/>
        </w:rPr>
      </w:pPr>
      <w:r>
        <w:rPr>
          <w:b/>
        </w:rPr>
        <w:t>Biodiesel:  Overview Presentation</w:t>
      </w:r>
    </w:p>
    <w:p w:rsidR="00276E9F" w:rsidRPr="00276E9F" w:rsidRDefault="00276E9F" w:rsidP="00276E9F">
      <w:pPr>
        <w:pStyle w:val="ListParagraph"/>
        <w:numPr>
          <w:ilvl w:val="0"/>
          <w:numId w:val="2"/>
        </w:numPr>
        <w:spacing w:after="120" w:line="240" w:lineRule="auto"/>
      </w:pPr>
      <w:r>
        <w:rPr>
          <w:u w:val="single"/>
        </w:rPr>
        <w:t>Major Characteristics</w:t>
      </w:r>
    </w:p>
    <w:p w:rsidR="00F93EEE" w:rsidRDefault="00F93EEE" w:rsidP="00F93EEE">
      <w:pPr>
        <w:pStyle w:val="ListParagraph"/>
        <w:numPr>
          <w:ilvl w:val="1"/>
          <w:numId w:val="2"/>
        </w:numPr>
        <w:spacing w:after="120" w:line="240" w:lineRule="auto"/>
      </w:pPr>
      <w:r>
        <w:t>Definitions/Key Terminology</w:t>
      </w:r>
    </w:p>
    <w:p w:rsidR="00F93EEE" w:rsidRDefault="00F93EEE" w:rsidP="00F93EEE">
      <w:pPr>
        <w:pStyle w:val="ListParagraph"/>
        <w:numPr>
          <w:ilvl w:val="2"/>
          <w:numId w:val="2"/>
        </w:numPr>
        <w:spacing w:after="120" w:line="240" w:lineRule="auto"/>
      </w:pPr>
      <w:r>
        <w:t>According to the National Biodiesel Board, the general definition of biodiesel is a domestic, renewable fuel for diesel engines derived from natural oils like soybean oil, and which meets the specifications set by the American Society for Testing and Materials</w:t>
      </w:r>
    </w:p>
    <w:p w:rsidR="00F93EEE" w:rsidRDefault="00F93EEE" w:rsidP="00F93EEE">
      <w:pPr>
        <w:pStyle w:val="ListParagraph"/>
        <w:numPr>
          <w:ilvl w:val="2"/>
          <w:numId w:val="2"/>
        </w:numPr>
        <w:spacing w:after="120" w:line="240" w:lineRule="auto"/>
      </w:pPr>
      <w:r>
        <w:t>The more technical definition of biodiesel is a fuel comprised of mono-alkyl esters of long chain fatty acids derived from vegetable oils or animal fats</w:t>
      </w:r>
    </w:p>
    <w:p w:rsidR="00F93EEE" w:rsidRPr="00F875DD" w:rsidRDefault="00F875DD" w:rsidP="00F93EEE">
      <w:pPr>
        <w:pStyle w:val="ListParagraph"/>
        <w:numPr>
          <w:ilvl w:val="2"/>
          <w:numId w:val="2"/>
        </w:numPr>
        <w:spacing w:after="120" w:line="240" w:lineRule="auto"/>
      </w:pPr>
      <w:r w:rsidRPr="00F875DD">
        <w:rPr>
          <w:rStyle w:val="bodyfontverd111"/>
          <w:rFonts w:asciiTheme="minorHAnsi" w:hAnsiTheme="minorHAnsi"/>
          <w:sz w:val="22"/>
          <w:szCs w:val="22"/>
        </w:rPr>
        <w:t xml:space="preserve">Biodiesel is made through a chemical process called </w:t>
      </w:r>
      <w:hyperlink r:id="rId5" w:tgtFrame="_blank" w:history="1">
        <w:r w:rsidRPr="00F875DD">
          <w:rPr>
            <w:rStyle w:val="Hyperlink"/>
            <w:color w:val="auto"/>
            <w:u w:val="none"/>
          </w:rPr>
          <w:t>transesterification</w:t>
        </w:r>
      </w:hyperlink>
      <w:r w:rsidRPr="00F875DD">
        <w:rPr>
          <w:rStyle w:val="bodyfontverd111"/>
          <w:rFonts w:asciiTheme="minorHAnsi" w:hAnsiTheme="minorHAnsi"/>
          <w:sz w:val="22"/>
          <w:szCs w:val="22"/>
        </w:rPr>
        <w:t xml:space="preserve"> whereby the glycerin is separated from the fat or vegetable oil. The process leaves behind two products -- methyl esters (the chemical name for biodiesel) and glycerin (a valuable byproduct usually sold to be used in soaps and other products)</w:t>
      </w:r>
    </w:p>
    <w:p w:rsidR="00276E9F" w:rsidRDefault="00276E9F" w:rsidP="00276E9F">
      <w:pPr>
        <w:pStyle w:val="ListParagraph"/>
        <w:numPr>
          <w:ilvl w:val="1"/>
          <w:numId w:val="2"/>
        </w:numPr>
        <w:spacing w:after="120" w:line="240" w:lineRule="auto"/>
      </w:pPr>
      <w:r>
        <w:t>Major Grades/Blends</w:t>
      </w:r>
    </w:p>
    <w:p w:rsidR="00F93EEE" w:rsidRDefault="00F93EEE" w:rsidP="00F93EEE">
      <w:pPr>
        <w:pStyle w:val="ListParagraph"/>
        <w:numPr>
          <w:ilvl w:val="2"/>
          <w:numId w:val="2"/>
        </w:numPr>
        <w:spacing w:after="120" w:line="240" w:lineRule="auto"/>
      </w:pPr>
      <w:r>
        <w:t>Pure biodiesel can be blended with petroleum-based diesel fuel, much like ethanol can be blended with petroleum-based gasoline</w:t>
      </w:r>
    </w:p>
    <w:p w:rsidR="00F93EEE" w:rsidRDefault="00F93EEE" w:rsidP="00F93EEE">
      <w:pPr>
        <w:pStyle w:val="ListParagraph"/>
        <w:numPr>
          <w:ilvl w:val="2"/>
          <w:numId w:val="2"/>
        </w:numPr>
        <w:spacing w:after="120" w:line="240" w:lineRule="auto"/>
      </w:pPr>
      <w:r>
        <w:t>The blends are designated Bxx, or B followed by the percentage of biodiesel contained in the fuel</w:t>
      </w:r>
    </w:p>
    <w:p w:rsidR="00F93EEE" w:rsidRDefault="00F93EEE" w:rsidP="00F93EEE">
      <w:pPr>
        <w:pStyle w:val="ListParagraph"/>
        <w:numPr>
          <w:ilvl w:val="2"/>
          <w:numId w:val="2"/>
        </w:numPr>
        <w:spacing w:after="120" w:line="240" w:lineRule="auto"/>
      </w:pPr>
      <w:r>
        <w:t>B100 is pure biodiesel</w:t>
      </w:r>
    </w:p>
    <w:p w:rsidR="00F93EEE" w:rsidRDefault="00F93EEE" w:rsidP="00F93EEE">
      <w:pPr>
        <w:pStyle w:val="ListParagraph"/>
        <w:numPr>
          <w:ilvl w:val="2"/>
          <w:numId w:val="2"/>
        </w:numPr>
        <w:spacing w:after="120" w:line="240" w:lineRule="auto"/>
      </w:pPr>
      <w:r>
        <w:t>The most common blends are</w:t>
      </w:r>
      <w:r w:rsidR="00F875DD">
        <w:t xml:space="preserve"> B2,</w:t>
      </w:r>
      <w:r>
        <w:t xml:space="preserve"> B5, B20, and B100</w:t>
      </w:r>
    </w:p>
    <w:p w:rsidR="00F93EEE" w:rsidRDefault="00F875DD" w:rsidP="00F93EEE">
      <w:pPr>
        <w:pStyle w:val="ListParagraph"/>
        <w:numPr>
          <w:ilvl w:val="2"/>
          <w:numId w:val="2"/>
        </w:numPr>
        <w:spacing w:after="120" w:line="240" w:lineRule="auto"/>
      </w:pPr>
      <w:r>
        <w:t>In March of 2002, Minnesota enacted the nation’s first biodiesel mandate that required nearly all biodiesel sold in the state to contain at least 2% biodiesel</w:t>
      </w:r>
      <w:r w:rsidR="006C1C4C">
        <w:t xml:space="preserve"> starting in 2005.  The mandate is now 5% and will increase to 10% in 2012, and 20% in 2015 (though the B10 and B20 mandates will be seasonal from April through October because one of the drawbacks of biodiesel is that it gels up at warmer temperatures than petroleum-based diesel)</w:t>
      </w:r>
      <w:r w:rsidR="00321F1D">
        <w:t xml:space="preserve"> (</w:t>
      </w:r>
      <w:r w:rsidR="00321F1D" w:rsidRPr="00321F1D">
        <w:t>http://www.truckline.com/AdvIssues/Energy/RENEWABLE%20DIESEL%20%20BIODIESEL/State%20Biodiesel-Renewable%20Diesel%20Mandates_Updated%20January%202010.pdf</w:t>
      </w:r>
      <w:r w:rsidR="00321F1D">
        <w:t>)</w:t>
      </w:r>
    </w:p>
    <w:p w:rsidR="006C1C4C" w:rsidRDefault="006C1C4C" w:rsidP="00F93EEE">
      <w:pPr>
        <w:pStyle w:val="ListParagraph"/>
        <w:numPr>
          <w:ilvl w:val="2"/>
          <w:numId w:val="2"/>
        </w:numPr>
        <w:spacing w:after="120" w:line="240" w:lineRule="auto"/>
      </w:pPr>
      <w:r>
        <w:t>Oregon, Washington, and Massachusetts also have biodiesel mandates of</w:t>
      </w:r>
      <w:r w:rsidR="00534DE4">
        <w:t xml:space="preserve"> at least B2, and other states are in the process of setting similar mandates.</w:t>
      </w:r>
      <w:r w:rsidR="00321F1D">
        <w:t xml:space="preserve"> (truckline.com)</w:t>
      </w:r>
    </w:p>
    <w:p w:rsidR="00101A5D" w:rsidRDefault="00101A5D" w:rsidP="00F93EEE">
      <w:pPr>
        <w:pStyle w:val="ListParagraph"/>
        <w:numPr>
          <w:ilvl w:val="2"/>
          <w:numId w:val="2"/>
        </w:numPr>
        <w:spacing w:after="120" w:line="240" w:lineRule="auto"/>
      </w:pPr>
      <w:r>
        <w:t>Blends up to B20 can be used in diesel engines without modification to the engine or fuel system in vehicles made after 1993.  Vehicles made before then may possibly need slight modifications because biodiesel tends to soften and degrade elastomers and rubber compounds found in the vehicle hoses and seals.</w:t>
      </w:r>
      <w:r w:rsidR="00321F1D">
        <w:t xml:space="preserve"> (NBB)</w:t>
      </w:r>
    </w:p>
    <w:p w:rsidR="00276E9F" w:rsidRDefault="00276E9F" w:rsidP="00276E9F">
      <w:pPr>
        <w:pStyle w:val="ListParagraph"/>
        <w:numPr>
          <w:ilvl w:val="1"/>
          <w:numId w:val="2"/>
        </w:numPr>
        <w:spacing w:after="120" w:line="240" w:lineRule="auto"/>
      </w:pPr>
      <w:r>
        <w:t>Market Size/Make-up</w:t>
      </w:r>
    </w:p>
    <w:p w:rsidR="002E1469" w:rsidRPr="005A663C" w:rsidRDefault="002E1469" w:rsidP="005A663C">
      <w:pPr>
        <w:pStyle w:val="ListParagraph"/>
        <w:numPr>
          <w:ilvl w:val="2"/>
          <w:numId w:val="2"/>
        </w:numPr>
        <w:autoSpaceDE w:val="0"/>
        <w:autoSpaceDN w:val="0"/>
        <w:adjustRightInd w:val="0"/>
        <w:spacing w:after="0" w:line="240" w:lineRule="auto"/>
        <w:rPr>
          <w:rFonts w:cs="TimesNewRomanPSMT"/>
        </w:rPr>
      </w:pPr>
      <w:r w:rsidRPr="005A663C">
        <w:rPr>
          <w:rFonts w:cs="TimesNewRomanPSMT"/>
        </w:rPr>
        <w:t>The biodiesel market is currently significantly smaller than the ethanol market:</w:t>
      </w:r>
      <w:r w:rsidR="005A663C" w:rsidRPr="005A663C">
        <w:rPr>
          <w:rFonts w:cs="TimesNewRomanPSMT"/>
        </w:rPr>
        <w:t xml:space="preserve"> </w:t>
      </w:r>
      <w:r w:rsidRPr="005A663C">
        <w:rPr>
          <w:rFonts w:cs="TimesNewRomanPSMT"/>
        </w:rPr>
        <w:t>approximately 80 per cent of the biofuels market represents ethanol and 20 per cent biodiesel</w:t>
      </w:r>
      <w:r w:rsidR="005A663C">
        <w:rPr>
          <w:rFonts w:cs="TimesNewRomanPSMT"/>
        </w:rPr>
        <w:t xml:space="preserve"> (</w:t>
      </w:r>
      <w:r w:rsidR="005A663C" w:rsidRPr="005A663C">
        <w:rPr>
          <w:rFonts w:cs="TimesNewRomanPSMT"/>
        </w:rPr>
        <w:t>http://www.unctad.org/en/docs/ditcbcc20091_en.pdf</w:t>
      </w:r>
      <w:r w:rsidR="005A663C">
        <w:rPr>
          <w:rFonts w:cs="TimesNewRomanPSMT"/>
        </w:rPr>
        <w:t>)</w:t>
      </w:r>
    </w:p>
    <w:p w:rsidR="003A1BF6" w:rsidRDefault="003A1BF6" w:rsidP="00ED3B57">
      <w:pPr>
        <w:pStyle w:val="ListParagraph"/>
        <w:numPr>
          <w:ilvl w:val="0"/>
          <w:numId w:val="3"/>
        </w:numPr>
        <w:spacing w:line="240" w:lineRule="auto"/>
      </w:pPr>
      <w:r>
        <w:t xml:space="preserve">Global capacity rose from 2.2 million tons per year in 2002 to 29.6 million tons per year in 2008, and production rose from 1.8 million tons per year in 2002 to 10.8 million tons in 2008.  So, </w:t>
      </w:r>
      <w:r w:rsidR="00157A0E">
        <w:t>glob</w:t>
      </w:r>
      <w:r w:rsidR="00472B76">
        <w:t>al production and capacity are growing rapidly.  However, high prices and feedstock shortages in Europe, the US, and Asia are the major contributors to the increasing gap between capacity and production.</w:t>
      </w:r>
      <w:r w:rsidR="00CD1AC7">
        <w:t xml:space="preserve"> (</w:t>
      </w:r>
      <w:r w:rsidR="00CD1AC7" w:rsidRPr="00CD1AC7">
        <w:t>http://www.unece.lsu.edu/biofuels/documents/2010Aug/bf10_16.pdf</w:t>
      </w:r>
      <w:r w:rsidR="00CD1AC7">
        <w:t>)</w:t>
      </w:r>
    </w:p>
    <w:p w:rsidR="0027574B" w:rsidRDefault="0027574B" w:rsidP="00316F9F">
      <w:pPr>
        <w:pStyle w:val="ListParagraph"/>
        <w:numPr>
          <w:ilvl w:val="2"/>
          <w:numId w:val="2"/>
        </w:numPr>
        <w:spacing w:after="120" w:line="240" w:lineRule="auto"/>
      </w:pPr>
      <w:r>
        <w:lastRenderedPageBreak/>
        <w:t>Europe produces and consumes over 80% of biodiesel worldwide</w:t>
      </w:r>
      <w:r w:rsidR="004403A7">
        <w:t>, with Germany producing over half of that</w:t>
      </w:r>
      <w:r w:rsidR="003A4B59">
        <w:t xml:space="preserve"> (making it the world-leading producer)</w:t>
      </w:r>
      <w:r>
        <w:t>.  The US produces about 7%, and the rest of the world produces about 8%.</w:t>
      </w:r>
    </w:p>
    <w:p w:rsidR="00316F9F" w:rsidRDefault="003A1BF6" w:rsidP="00316F9F">
      <w:pPr>
        <w:pStyle w:val="ListParagraph"/>
        <w:numPr>
          <w:ilvl w:val="2"/>
          <w:numId w:val="2"/>
        </w:numPr>
        <w:spacing w:after="120" w:line="240" w:lineRule="auto"/>
      </w:pPr>
      <w:r>
        <w:t>In July of 2009, a duty was added to American imported biodiesel in the European Union in order to balance the competition from European, especially German producers.</w:t>
      </w:r>
      <w:r w:rsidR="00CD1AC7">
        <w:t xml:space="preserve"> (?)</w:t>
      </w:r>
    </w:p>
    <w:p w:rsidR="00E57703" w:rsidRDefault="00E57703" w:rsidP="00E57703">
      <w:pPr>
        <w:pStyle w:val="ListParagraph"/>
        <w:numPr>
          <w:ilvl w:val="1"/>
          <w:numId w:val="2"/>
        </w:numPr>
        <w:spacing w:before="157" w:after="157" w:line="240" w:lineRule="auto"/>
        <w:rPr>
          <w:rFonts w:eastAsia="Times New Roman" w:cs="Arial"/>
        </w:rPr>
      </w:pPr>
      <w:r>
        <w:rPr>
          <w:rFonts w:eastAsia="Times New Roman" w:cs="Arial"/>
        </w:rPr>
        <w:t>O</w:t>
      </w:r>
      <w:r w:rsidRPr="00E57703">
        <w:rPr>
          <w:rFonts w:eastAsia="Times New Roman" w:cs="Arial"/>
        </w:rPr>
        <w:t xml:space="preserve">nly 3% of all cars on U.S. roads run on diesel. However, more than 80% of all commercial trucks and major bus networks in municipal areas are diesel based. That, more than anything else, suggests a huge potential market for this fuel in the world's most energy-hungry nation. </w:t>
      </w:r>
      <w:r w:rsidR="00535474">
        <w:rPr>
          <w:rFonts w:eastAsia="Times New Roman" w:cs="Arial"/>
        </w:rPr>
        <w:t>(BFF)</w:t>
      </w:r>
    </w:p>
    <w:p w:rsidR="009E4BBC" w:rsidRPr="009E4BBC" w:rsidRDefault="009E4BBC" w:rsidP="009E4BBC">
      <w:pPr>
        <w:pStyle w:val="ListParagraph"/>
        <w:numPr>
          <w:ilvl w:val="1"/>
          <w:numId w:val="2"/>
        </w:numPr>
        <w:spacing w:before="157" w:after="157" w:line="240" w:lineRule="auto"/>
        <w:rPr>
          <w:rFonts w:eastAsia="Times New Roman" w:cs="Arial"/>
        </w:rPr>
      </w:pPr>
      <w:r w:rsidRPr="009E4BBC">
        <w:rPr>
          <w:rFonts w:eastAsia="Times New Roman" w:cs="Arial"/>
        </w:rPr>
        <w:t xml:space="preserve">There is a relatively small U.S. market for diesel in passenger cars compared with Europe (where more than 50% of all cars run on diesel), China, and India where diesel is the dominant on-road fuel for passenger cars. However, the U.S. market share of diesel cars is also expected to grow, from 3% in 2005 to 11% by 2010. </w:t>
      </w:r>
      <w:r>
        <w:rPr>
          <w:rFonts w:eastAsia="Times New Roman" w:cs="Arial"/>
        </w:rPr>
        <w:t xml:space="preserve"> (BFF)</w:t>
      </w:r>
    </w:p>
    <w:p w:rsidR="00276E9F" w:rsidRPr="00276E9F" w:rsidRDefault="00276E9F" w:rsidP="00276E9F">
      <w:pPr>
        <w:pStyle w:val="ListParagraph"/>
        <w:numPr>
          <w:ilvl w:val="0"/>
          <w:numId w:val="2"/>
        </w:numPr>
        <w:spacing w:after="120" w:line="240" w:lineRule="auto"/>
      </w:pPr>
      <w:r>
        <w:rPr>
          <w:u w:val="single"/>
        </w:rPr>
        <w:t>Production/Consumption Statistics</w:t>
      </w:r>
    </w:p>
    <w:p w:rsidR="00276E9F" w:rsidRDefault="00276E9F" w:rsidP="00276E9F">
      <w:pPr>
        <w:pStyle w:val="ListParagraph"/>
        <w:numPr>
          <w:ilvl w:val="1"/>
          <w:numId w:val="2"/>
        </w:numPr>
        <w:spacing w:after="120" w:line="240" w:lineRule="auto"/>
      </w:pPr>
      <w:r>
        <w:t>Production Regions</w:t>
      </w:r>
    </w:p>
    <w:p w:rsidR="00276E9F" w:rsidRPr="00276E9F" w:rsidRDefault="00276E9F" w:rsidP="00276E9F">
      <w:pPr>
        <w:pStyle w:val="ListParagraph"/>
        <w:numPr>
          <w:ilvl w:val="1"/>
          <w:numId w:val="2"/>
        </w:numPr>
        <w:spacing w:after="120" w:line="240" w:lineRule="auto"/>
      </w:pPr>
      <w:r>
        <w:t>Import/Export Markets</w:t>
      </w:r>
    </w:p>
    <w:p w:rsidR="00276E9F" w:rsidRPr="00276E9F" w:rsidRDefault="00276E9F" w:rsidP="00276E9F">
      <w:pPr>
        <w:pStyle w:val="ListParagraph"/>
        <w:numPr>
          <w:ilvl w:val="0"/>
          <w:numId w:val="2"/>
        </w:numPr>
        <w:spacing w:after="120" w:line="240" w:lineRule="auto"/>
      </w:pPr>
      <w:r>
        <w:rPr>
          <w:u w:val="single"/>
        </w:rPr>
        <w:t>Competitive Landscape</w:t>
      </w:r>
    </w:p>
    <w:p w:rsidR="00276E9F" w:rsidRDefault="00276E9F" w:rsidP="00276E9F">
      <w:pPr>
        <w:pStyle w:val="ListParagraph"/>
        <w:numPr>
          <w:ilvl w:val="1"/>
          <w:numId w:val="2"/>
        </w:numPr>
        <w:spacing w:after="120" w:line="240" w:lineRule="auto"/>
      </w:pPr>
      <w:r>
        <w:t>Major Producers</w:t>
      </w:r>
    </w:p>
    <w:p w:rsidR="00276E9F" w:rsidRDefault="00276E9F" w:rsidP="00276E9F">
      <w:pPr>
        <w:pStyle w:val="ListParagraph"/>
        <w:numPr>
          <w:ilvl w:val="1"/>
          <w:numId w:val="2"/>
        </w:numPr>
        <w:spacing w:after="120" w:line="240" w:lineRule="auto"/>
      </w:pPr>
      <w:r>
        <w:t>Industry Concentration</w:t>
      </w:r>
    </w:p>
    <w:p w:rsidR="00276E9F" w:rsidRPr="00276E9F" w:rsidRDefault="00276E9F" w:rsidP="00276E9F">
      <w:pPr>
        <w:pStyle w:val="ListParagraph"/>
        <w:numPr>
          <w:ilvl w:val="1"/>
          <w:numId w:val="2"/>
        </w:numPr>
        <w:spacing w:after="120" w:line="240" w:lineRule="auto"/>
      </w:pPr>
      <w:r>
        <w:t>Competing Products</w:t>
      </w:r>
    </w:p>
    <w:p w:rsidR="00276E9F" w:rsidRPr="00D70F3F" w:rsidRDefault="00276E9F" w:rsidP="00276E9F">
      <w:pPr>
        <w:pStyle w:val="ListParagraph"/>
        <w:numPr>
          <w:ilvl w:val="0"/>
          <w:numId w:val="2"/>
        </w:numPr>
        <w:spacing w:after="120" w:line="240" w:lineRule="auto"/>
      </w:pPr>
      <w:r>
        <w:rPr>
          <w:u w:val="single"/>
        </w:rPr>
        <w:t>Global Trends</w:t>
      </w:r>
    </w:p>
    <w:p w:rsidR="00D70F3F" w:rsidRDefault="00D70F3F" w:rsidP="00D70F3F">
      <w:pPr>
        <w:pStyle w:val="ListParagraph"/>
        <w:numPr>
          <w:ilvl w:val="1"/>
          <w:numId w:val="2"/>
        </w:numPr>
        <w:autoSpaceDE w:val="0"/>
        <w:autoSpaceDN w:val="0"/>
        <w:adjustRightInd w:val="0"/>
        <w:spacing w:after="0" w:line="240" w:lineRule="auto"/>
        <w:rPr>
          <w:rFonts w:cs="TimesNewRomanPSMT"/>
        </w:rPr>
      </w:pPr>
      <w:r w:rsidRPr="00D70F3F">
        <w:rPr>
          <w:rFonts w:cs="TimesNewRomanPSMT"/>
        </w:rPr>
        <w:t>Mandatory blends and utilization targets have played an essential role in the development and expansion of the biofuels sectors of the two major producers, Brazil and the United States.</w:t>
      </w:r>
    </w:p>
    <w:p w:rsidR="00D70F3F" w:rsidRDefault="00D70F3F" w:rsidP="00D70F3F">
      <w:pPr>
        <w:pStyle w:val="ListParagraph"/>
        <w:numPr>
          <w:ilvl w:val="1"/>
          <w:numId w:val="2"/>
        </w:numPr>
        <w:autoSpaceDE w:val="0"/>
        <w:autoSpaceDN w:val="0"/>
        <w:adjustRightInd w:val="0"/>
        <w:spacing w:after="0" w:line="240" w:lineRule="auto"/>
        <w:rPr>
          <w:rFonts w:cs="TimesNewRomanPSMT"/>
        </w:rPr>
      </w:pPr>
      <w:r w:rsidRPr="00D70F3F">
        <w:rPr>
          <w:rFonts w:cs="TimesNewRomanPSMT"/>
        </w:rPr>
        <w:t>We estimate that current and expected blending targets will increase global demand for biodiesel to 88 billion litres (23.2 billion gallons), while total production capacity will be around 34 billion litres (9 billion gallons).</w:t>
      </w:r>
    </w:p>
    <w:p w:rsidR="00D70F3F" w:rsidRDefault="00D70F3F" w:rsidP="00D70F3F">
      <w:pPr>
        <w:pStyle w:val="ListParagraph"/>
        <w:numPr>
          <w:ilvl w:val="1"/>
          <w:numId w:val="2"/>
        </w:numPr>
        <w:autoSpaceDE w:val="0"/>
        <w:autoSpaceDN w:val="0"/>
        <w:adjustRightInd w:val="0"/>
        <w:spacing w:after="0" w:line="240" w:lineRule="auto"/>
        <w:rPr>
          <w:rFonts w:cs="TimesNewRomanPSMT"/>
        </w:rPr>
      </w:pPr>
      <w:r w:rsidRPr="00D70F3F">
        <w:rPr>
          <w:rFonts w:cs="TimesNewRomanPSMT"/>
        </w:rPr>
        <w:t>In the United States the target is expressed as a specific volume of biofuels utilization that needs to be achieved (36 billion gallons in 2022, for example), while in the EU the target is a percentage of the transportation fuels demand that needs to be supplied by biofuels (5.75 per cent by 2010)</w:t>
      </w:r>
    </w:p>
    <w:p w:rsidR="00D70F3F" w:rsidRDefault="00D70F3F" w:rsidP="00D70F3F">
      <w:pPr>
        <w:pStyle w:val="ListParagraph"/>
        <w:numPr>
          <w:ilvl w:val="1"/>
          <w:numId w:val="2"/>
        </w:numPr>
        <w:autoSpaceDE w:val="0"/>
        <w:autoSpaceDN w:val="0"/>
        <w:adjustRightInd w:val="0"/>
        <w:spacing w:after="0" w:line="240" w:lineRule="auto"/>
        <w:rPr>
          <w:rFonts w:cs="TimesNewRomanPSMT"/>
        </w:rPr>
      </w:pPr>
      <w:r w:rsidRPr="00D70F3F">
        <w:rPr>
          <w:rFonts w:cs="TimesNewRomanPSMT"/>
        </w:rPr>
        <w:t>The approach followed by the United States and the EU does not require that a particular blend be made available to the market. The biofuel content can change throughout the year as it responds to short-term changes in the supply and prices of biofuels and fossil fuel products.</w:t>
      </w:r>
    </w:p>
    <w:p w:rsidR="00B97327" w:rsidRDefault="00B97327" w:rsidP="00B97327">
      <w:pPr>
        <w:pStyle w:val="ListParagraph"/>
        <w:numPr>
          <w:ilvl w:val="1"/>
          <w:numId w:val="2"/>
        </w:numPr>
        <w:autoSpaceDE w:val="0"/>
        <w:autoSpaceDN w:val="0"/>
        <w:adjustRightInd w:val="0"/>
        <w:spacing w:after="0" w:line="240" w:lineRule="auto"/>
        <w:rPr>
          <w:rFonts w:cs="TimesNewRomanPSMT"/>
        </w:rPr>
      </w:pPr>
      <w:r w:rsidRPr="00B97327">
        <w:rPr>
          <w:rFonts w:cs="TimesNewRomanPSMT"/>
        </w:rPr>
        <w:t>Countries such as Argentina, China and Malaysia,</w:t>
      </w:r>
      <w:r w:rsidR="00CE2698">
        <w:rPr>
          <w:rFonts w:cs="TimesNewRomanPSMT"/>
        </w:rPr>
        <w:t xml:space="preserve"> </w:t>
      </w:r>
      <w:r w:rsidRPr="00B97327">
        <w:rPr>
          <w:rFonts w:cs="TimesNewRomanPSMT"/>
        </w:rPr>
        <w:t>which have programmes to stimulate the use of biodiesel,</w:t>
      </w:r>
      <w:r w:rsidR="00CE2698">
        <w:rPr>
          <w:rFonts w:cs="TimesNewRomanPSMT"/>
        </w:rPr>
        <w:t xml:space="preserve"> </w:t>
      </w:r>
      <w:r w:rsidRPr="00B97327">
        <w:rPr>
          <w:rFonts w:cs="TimesNewRomanPSMT"/>
        </w:rPr>
        <w:t>will present a combined demand similar to that of the United States</w:t>
      </w:r>
    </w:p>
    <w:p w:rsidR="00CE2698" w:rsidRDefault="00CE2698" w:rsidP="00CE2698">
      <w:pPr>
        <w:pStyle w:val="ListParagraph"/>
        <w:numPr>
          <w:ilvl w:val="1"/>
          <w:numId w:val="2"/>
        </w:numPr>
        <w:autoSpaceDE w:val="0"/>
        <w:autoSpaceDN w:val="0"/>
        <w:adjustRightInd w:val="0"/>
        <w:spacing w:after="0" w:line="240" w:lineRule="auto"/>
        <w:rPr>
          <w:rFonts w:cs="TimesNewRomanPSMT"/>
        </w:rPr>
      </w:pPr>
      <w:r w:rsidRPr="00CE2698">
        <w:rPr>
          <w:rFonts w:cs="TimesNewRomanPSMT"/>
        </w:rPr>
        <w:t>Brazil is already a key player in the biodiesel market; other developing countries are expected to consolidate their position and expand exports to the EU, the United States and other countries.</w:t>
      </w:r>
    </w:p>
    <w:p w:rsidR="004E1631" w:rsidRDefault="004E1631" w:rsidP="004E1631">
      <w:pPr>
        <w:pStyle w:val="ListParagraph"/>
        <w:numPr>
          <w:ilvl w:val="1"/>
          <w:numId w:val="2"/>
        </w:numPr>
        <w:autoSpaceDE w:val="0"/>
        <w:autoSpaceDN w:val="0"/>
        <w:adjustRightInd w:val="0"/>
        <w:spacing w:after="0" w:line="240" w:lineRule="auto"/>
        <w:rPr>
          <w:rFonts w:cs="TimesNewRomanPSMT"/>
        </w:rPr>
      </w:pPr>
      <w:r w:rsidRPr="004E1631">
        <w:rPr>
          <w:rFonts w:cs="TimesNewRomanPSMT"/>
        </w:rPr>
        <w:t>Chinese biodiesel production is at a very early stage of development in part because biodiesel feedstocks are in short supply. The government has only recently decided to actively support the industry, trialing non-traditional biodiesel crops such as jatropha</w:t>
      </w:r>
    </w:p>
    <w:p w:rsidR="00670586" w:rsidRDefault="00670586" w:rsidP="00670586">
      <w:pPr>
        <w:pStyle w:val="ListParagraph"/>
        <w:numPr>
          <w:ilvl w:val="1"/>
          <w:numId w:val="2"/>
        </w:numPr>
        <w:autoSpaceDE w:val="0"/>
        <w:autoSpaceDN w:val="0"/>
        <w:adjustRightInd w:val="0"/>
        <w:spacing w:after="0" w:line="240" w:lineRule="auto"/>
        <w:rPr>
          <w:rFonts w:cs="TimesNewRomanPSMT"/>
        </w:rPr>
      </w:pPr>
      <w:r w:rsidRPr="00670586">
        <w:rPr>
          <w:rFonts w:cs="TimesNewRomanPSMT"/>
        </w:rPr>
        <w:t>The EU is currently the main producer of biodiesel: production has increased more than sixfold between 2000 and 2006</w:t>
      </w:r>
      <w:r w:rsidR="00F23BCB">
        <w:rPr>
          <w:rFonts w:cs="TimesNewRomanPSMT"/>
        </w:rPr>
        <w:t xml:space="preserve"> (this and all above from BM&amp;CS)</w:t>
      </w:r>
    </w:p>
    <w:p w:rsidR="00D4383C" w:rsidRDefault="00D4383C" w:rsidP="00D4383C">
      <w:pPr>
        <w:pStyle w:val="ListParagraph"/>
        <w:numPr>
          <w:ilvl w:val="1"/>
          <w:numId w:val="2"/>
        </w:numPr>
        <w:spacing w:before="157" w:after="157" w:line="240" w:lineRule="auto"/>
        <w:rPr>
          <w:rFonts w:eastAsia="Times New Roman" w:cs="Arial"/>
        </w:rPr>
      </w:pPr>
      <w:r w:rsidRPr="00484034">
        <w:rPr>
          <w:rFonts w:eastAsia="Times New Roman" w:cs="Arial"/>
        </w:rPr>
        <w:t xml:space="preserve">From 2006 to 2020, the global energy market is expected to grow at about 1.5% per year on average, with higher or lower projections depending on which energy expert, government </w:t>
      </w:r>
      <w:r w:rsidRPr="00484034">
        <w:rPr>
          <w:rFonts w:eastAsia="Times New Roman" w:cs="Arial"/>
        </w:rPr>
        <w:lastRenderedPageBreak/>
        <w:t>forecast, or think tank report you read. The U.S. energy market is expected to grow at 1.7% per year to 2020, while Europe will grow at a slightly slower rate (1.3%). Estimates for growth in the Chinese energy market range from 3.8% to 8% per year to 2020; for India, 3%; and Brazil, 3% to 4% (BBF)</w:t>
      </w:r>
    </w:p>
    <w:p w:rsidR="003C71ED" w:rsidRPr="003C71ED" w:rsidRDefault="003C71ED" w:rsidP="003C71ED">
      <w:pPr>
        <w:pStyle w:val="ListParagraph"/>
        <w:numPr>
          <w:ilvl w:val="1"/>
          <w:numId w:val="2"/>
        </w:numPr>
        <w:spacing w:before="157" w:after="157" w:line="240" w:lineRule="auto"/>
        <w:rPr>
          <w:rFonts w:eastAsia="Times New Roman" w:cs="Arial"/>
        </w:rPr>
      </w:pPr>
      <w:r w:rsidRPr="003C71ED">
        <w:rPr>
          <w:rFonts w:eastAsia="Times New Roman" w:cs="Arial"/>
        </w:rPr>
        <w:t xml:space="preserve">In Europe and in the United States, the markets have a long way to grow to reach these targets. Though Europe reached its first target, 2% by 2005, achieving its next targets (5.75% by 2010 and 20% by 2020) will depend on feedstock availability, government commitment, and market economics. Using current consumption figures, Europe would need to replace approximately 3 billion gallons by 2010 and 20 billion gallons by 2020. </w:t>
      </w:r>
      <w:r>
        <w:rPr>
          <w:rFonts w:eastAsia="Times New Roman" w:cs="Arial"/>
        </w:rPr>
        <w:t>(BBF)</w:t>
      </w:r>
    </w:p>
    <w:p w:rsidR="003C71ED" w:rsidRPr="00484034" w:rsidRDefault="003C71ED" w:rsidP="00D4383C">
      <w:pPr>
        <w:pStyle w:val="ListParagraph"/>
        <w:numPr>
          <w:ilvl w:val="1"/>
          <w:numId w:val="2"/>
        </w:numPr>
        <w:spacing w:before="157" w:after="157" w:line="240" w:lineRule="auto"/>
        <w:rPr>
          <w:rFonts w:eastAsia="Times New Roman" w:cs="Arial"/>
        </w:rPr>
      </w:pPr>
    </w:p>
    <w:p w:rsidR="00276E9F" w:rsidRPr="003276F0" w:rsidRDefault="00276E9F" w:rsidP="00276E9F">
      <w:pPr>
        <w:pStyle w:val="ListParagraph"/>
        <w:numPr>
          <w:ilvl w:val="0"/>
          <w:numId w:val="2"/>
        </w:numPr>
        <w:spacing w:after="120" w:line="240" w:lineRule="auto"/>
      </w:pPr>
      <w:r>
        <w:rPr>
          <w:u w:val="single"/>
        </w:rPr>
        <w:t>Pricing Trends</w:t>
      </w:r>
    </w:p>
    <w:tbl>
      <w:tblPr>
        <w:tblW w:w="0" w:type="auto"/>
        <w:tblInd w:w="720" w:type="dxa"/>
        <w:tblBorders>
          <w:top w:val="nil"/>
          <w:left w:val="nil"/>
          <w:bottom w:val="nil"/>
          <w:right w:val="nil"/>
        </w:tblBorders>
        <w:tblLayout w:type="fixed"/>
        <w:tblLook w:val="0000"/>
      </w:tblPr>
      <w:tblGrid>
        <w:gridCol w:w="1358"/>
        <w:gridCol w:w="340"/>
        <w:gridCol w:w="1018"/>
        <w:gridCol w:w="680"/>
        <w:gridCol w:w="678"/>
        <w:gridCol w:w="1020"/>
        <w:gridCol w:w="338"/>
        <w:gridCol w:w="1360"/>
      </w:tblGrid>
      <w:tr w:rsidR="003276F0" w:rsidTr="003276F0">
        <w:tblPrEx>
          <w:tblCellMar>
            <w:top w:w="0" w:type="dxa"/>
            <w:bottom w:w="0" w:type="dxa"/>
          </w:tblCellMar>
        </w:tblPrEx>
        <w:trPr>
          <w:trHeight w:val="297"/>
        </w:trPr>
        <w:tc>
          <w:tcPr>
            <w:tcW w:w="1698" w:type="dxa"/>
            <w:gridSpan w:val="2"/>
          </w:tcPr>
          <w:p w:rsidR="003276F0" w:rsidRDefault="003276F0">
            <w:pPr>
              <w:pStyle w:val="Default"/>
              <w:rPr>
                <w:sz w:val="16"/>
                <w:szCs w:val="16"/>
              </w:rPr>
            </w:pPr>
            <w:r>
              <w:rPr>
                <w:b/>
                <w:bCs/>
                <w:sz w:val="18"/>
                <w:szCs w:val="18"/>
              </w:rPr>
              <w:t xml:space="preserve">Table 1. Overall Average Fuel Prices </w:t>
            </w:r>
            <w:r>
              <w:rPr>
                <w:i/>
                <w:iCs/>
                <w:sz w:val="16"/>
                <w:szCs w:val="16"/>
              </w:rPr>
              <w:t xml:space="preserve">Nationwide Average Price for Fuel This Report </w:t>
            </w:r>
          </w:p>
        </w:tc>
        <w:tc>
          <w:tcPr>
            <w:tcW w:w="1698" w:type="dxa"/>
            <w:gridSpan w:val="2"/>
          </w:tcPr>
          <w:p w:rsidR="003276F0" w:rsidRDefault="003276F0">
            <w:pPr>
              <w:pStyle w:val="Default"/>
              <w:rPr>
                <w:sz w:val="16"/>
                <w:szCs w:val="16"/>
              </w:rPr>
            </w:pPr>
            <w:r>
              <w:rPr>
                <w:i/>
                <w:iCs/>
                <w:sz w:val="16"/>
                <w:szCs w:val="16"/>
              </w:rPr>
              <w:t xml:space="preserve">Nationwide Average Price for Fuel Last Report </w:t>
            </w:r>
          </w:p>
        </w:tc>
        <w:tc>
          <w:tcPr>
            <w:tcW w:w="1698" w:type="dxa"/>
            <w:gridSpan w:val="2"/>
          </w:tcPr>
          <w:p w:rsidR="003276F0" w:rsidRDefault="003276F0">
            <w:pPr>
              <w:pStyle w:val="Default"/>
              <w:rPr>
                <w:sz w:val="16"/>
                <w:szCs w:val="16"/>
              </w:rPr>
            </w:pPr>
            <w:r>
              <w:rPr>
                <w:i/>
                <w:iCs/>
                <w:sz w:val="16"/>
                <w:szCs w:val="16"/>
              </w:rPr>
              <w:t xml:space="preserve">Change in Price This Report vs. Last Report </w:t>
            </w:r>
          </w:p>
        </w:tc>
        <w:tc>
          <w:tcPr>
            <w:tcW w:w="1698" w:type="dxa"/>
            <w:gridSpan w:val="2"/>
          </w:tcPr>
          <w:p w:rsidR="003276F0" w:rsidRDefault="003276F0">
            <w:pPr>
              <w:pStyle w:val="Default"/>
              <w:rPr>
                <w:sz w:val="16"/>
                <w:szCs w:val="16"/>
              </w:rPr>
            </w:pPr>
            <w:r>
              <w:rPr>
                <w:i/>
                <w:iCs/>
                <w:sz w:val="16"/>
                <w:szCs w:val="16"/>
              </w:rPr>
              <w:t xml:space="preserve">Units of Measurement </w:t>
            </w:r>
          </w:p>
        </w:tc>
      </w:tr>
      <w:tr w:rsidR="003276F0" w:rsidTr="003276F0">
        <w:tblPrEx>
          <w:tblCellMar>
            <w:top w:w="0" w:type="dxa"/>
            <w:bottom w:w="0" w:type="dxa"/>
          </w:tblCellMar>
        </w:tblPrEx>
        <w:trPr>
          <w:trHeight w:val="92"/>
        </w:trPr>
        <w:tc>
          <w:tcPr>
            <w:tcW w:w="1358" w:type="dxa"/>
          </w:tcPr>
          <w:p w:rsidR="003276F0" w:rsidRDefault="003276F0">
            <w:pPr>
              <w:pStyle w:val="Default"/>
              <w:rPr>
                <w:sz w:val="16"/>
                <w:szCs w:val="16"/>
              </w:rPr>
            </w:pPr>
            <w:r>
              <w:rPr>
                <w:sz w:val="16"/>
                <w:szCs w:val="16"/>
              </w:rPr>
              <w:t xml:space="preserve">Gasoline (Regular) </w:t>
            </w:r>
          </w:p>
        </w:tc>
        <w:tc>
          <w:tcPr>
            <w:tcW w:w="1358" w:type="dxa"/>
            <w:gridSpan w:val="2"/>
          </w:tcPr>
          <w:p w:rsidR="003276F0" w:rsidRDefault="003276F0">
            <w:pPr>
              <w:pStyle w:val="Default"/>
              <w:rPr>
                <w:sz w:val="16"/>
                <w:szCs w:val="16"/>
              </w:rPr>
            </w:pPr>
            <w:r>
              <w:rPr>
                <w:sz w:val="16"/>
                <w:szCs w:val="16"/>
              </w:rPr>
              <w:t xml:space="preserve">$2.71 </w:t>
            </w:r>
          </w:p>
        </w:tc>
        <w:tc>
          <w:tcPr>
            <w:tcW w:w="1358" w:type="dxa"/>
            <w:gridSpan w:val="2"/>
          </w:tcPr>
          <w:p w:rsidR="003276F0" w:rsidRDefault="003276F0">
            <w:pPr>
              <w:pStyle w:val="Default"/>
              <w:rPr>
                <w:sz w:val="16"/>
                <w:szCs w:val="16"/>
              </w:rPr>
            </w:pPr>
            <w:r>
              <w:rPr>
                <w:sz w:val="16"/>
                <w:szCs w:val="16"/>
              </w:rPr>
              <w:t xml:space="preserve">$2.84 </w:t>
            </w:r>
          </w:p>
        </w:tc>
        <w:tc>
          <w:tcPr>
            <w:tcW w:w="1358" w:type="dxa"/>
            <w:gridSpan w:val="2"/>
          </w:tcPr>
          <w:p w:rsidR="003276F0" w:rsidRDefault="003276F0">
            <w:pPr>
              <w:pStyle w:val="Default"/>
              <w:rPr>
                <w:sz w:val="16"/>
                <w:szCs w:val="16"/>
              </w:rPr>
            </w:pPr>
            <w:r>
              <w:rPr>
                <w:sz w:val="16"/>
                <w:szCs w:val="16"/>
              </w:rPr>
              <w:t xml:space="preserve">($0.13) </w:t>
            </w:r>
          </w:p>
        </w:tc>
        <w:tc>
          <w:tcPr>
            <w:tcW w:w="1360" w:type="dxa"/>
          </w:tcPr>
          <w:p w:rsidR="003276F0" w:rsidRDefault="003276F0">
            <w:pPr>
              <w:pStyle w:val="Default"/>
              <w:rPr>
                <w:sz w:val="16"/>
                <w:szCs w:val="16"/>
              </w:rPr>
            </w:pPr>
            <w:r>
              <w:rPr>
                <w:sz w:val="16"/>
                <w:szCs w:val="16"/>
              </w:rPr>
              <w:t xml:space="preserve">per gallon </w:t>
            </w:r>
          </w:p>
        </w:tc>
      </w:tr>
      <w:tr w:rsidR="003276F0" w:rsidTr="003276F0">
        <w:tblPrEx>
          <w:tblCellMar>
            <w:top w:w="0" w:type="dxa"/>
            <w:bottom w:w="0" w:type="dxa"/>
          </w:tblCellMar>
        </w:tblPrEx>
        <w:trPr>
          <w:trHeight w:val="102"/>
        </w:trPr>
        <w:tc>
          <w:tcPr>
            <w:tcW w:w="1358" w:type="dxa"/>
          </w:tcPr>
          <w:p w:rsidR="003276F0" w:rsidRDefault="003276F0">
            <w:pPr>
              <w:pStyle w:val="Default"/>
              <w:rPr>
                <w:sz w:val="16"/>
                <w:szCs w:val="16"/>
              </w:rPr>
            </w:pPr>
            <w:r>
              <w:rPr>
                <w:sz w:val="16"/>
                <w:szCs w:val="16"/>
              </w:rPr>
              <w:t xml:space="preserve">Diesel </w:t>
            </w:r>
          </w:p>
        </w:tc>
        <w:tc>
          <w:tcPr>
            <w:tcW w:w="1358" w:type="dxa"/>
            <w:gridSpan w:val="2"/>
          </w:tcPr>
          <w:p w:rsidR="003276F0" w:rsidRDefault="003276F0">
            <w:pPr>
              <w:pStyle w:val="Default"/>
              <w:rPr>
                <w:sz w:val="16"/>
                <w:szCs w:val="16"/>
              </w:rPr>
            </w:pPr>
            <w:r>
              <w:rPr>
                <w:sz w:val="16"/>
                <w:szCs w:val="16"/>
              </w:rPr>
              <w:t xml:space="preserve">$2.95 </w:t>
            </w:r>
          </w:p>
        </w:tc>
        <w:tc>
          <w:tcPr>
            <w:tcW w:w="1358" w:type="dxa"/>
            <w:gridSpan w:val="2"/>
          </w:tcPr>
          <w:p w:rsidR="003276F0" w:rsidRDefault="003276F0">
            <w:pPr>
              <w:pStyle w:val="Default"/>
              <w:rPr>
                <w:sz w:val="16"/>
                <w:szCs w:val="16"/>
              </w:rPr>
            </w:pPr>
            <w:r>
              <w:rPr>
                <w:sz w:val="16"/>
                <w:szCs w:val="16"/>
              </w:rPr>
              <w:t xml:space="preserve">$3.02 </w:t>
            </w:r>
          </w:p>
        </w:tc>
        <w:tc>
          <w:tcPr>
            <w:tcW w:w="1358" w:type="dxa"/>
            <w:gridSpan w:val="2"/>
          </w:tcPr>
          <w:p w:rsidR="003276F0" w:rsidRDefault="003276F0">
            <w:pPr>
              <w:pStyle w:val="Default"/>
              <w:rPr>
                <w:sz w:val="16"/>
                <w:szCs w:val="16"/>
              </w:rPr>
            </w:pPr>
            <w:r>
              <w:rPr>
                <w:sz w:val="16"/>
                <w:szCs w:val="16"/>
              </w:rPr>
              <w:t xml:space="preserve">($0.07) </w:t>
            </w:r>
          </w:p>
        </w:tc>
        <w:tc>
          <w:tcPr>
            <w:tcW w:w="1360" w:type="dxa"/>
          </w:tcPr>
          <w:p w:rsidR="003276F0" w:rsidRDefault="003276F0">
            <w:pPr>
              <w:pStyle w:val="Default"/>
              <w:rPr>
                <w:sz w:val="16"/>
                <w:szCs w:val="16"/>
              </w:rPr>
            </w:pPr>
            <w:r>
              <w:rPr>
                <w:sz w:val="16"/>
                <w:szCs w:val="16"/>
              </w:rPr>
              <w:t xml:space="preserve">per gallon </w:t>
            </w:r>
          </w:p>
        </w:tc>
      </w:tr>
      <w:tr w:rsidR="003276F0" w:rsidTr="003276F0">
        <w:tblPrEx>
          <w:tblCellMar>
            <w:top w:w="0" w:type="dxa"/>
            <w:bottom w:w="0" w:type="dxa"/>
          </w:tblCellMar>
        </w:tblPrEx>
        <w:trPr>
          <w:trHeight w:val="92"/>
        </w:trPr>
        <w:tc>
          <w:tcPr>
            <w:tcW w:w="1358" w:type="dxa"/>
          </w:tcPr>
          <w:p w:rsidR="003276F0" w:rsidRDefault="003276F0">
            <w:pPr>
              <w:pStyle w:val="Default"/>
              <w:rPr>
                <w:sz w:val="16"/>
                <w:szCs w:val="16"/>
              </w:rPr>
            </w:pPr>
            <w:r>
              <w:rPr>
                <w:sz w:val="16"/>
                <w:szCs w:val="16"/>
              </w:rPr>
              <w:t xml:space="preserve">CNG </w:t>
            </w:r>
          </w:p>
        </w:tc>
        <w:tc>
          <w:tcPr>
            <w:tcW w:w="1358" w:type="dxa"/>
            <w:gridSpan w:val="2"/>
          </w:tcPr>
          <w:p w:rsidR="003276F0" w:rsidRDefault="003276F0">
            <w:pPr>
              <w:pStyle w:val="Default"/>
              <w:rPr>
                <w:sz w:val="16"/>
                <w:szCs w:val="16"/>
              </w:rPr>
            </w:pPr>
            <w:r>
              <w:rPr>
                <w:sz w:val="16"/>
                <w:szCs w:val="16"/>
              </w:rPr>
              <w:t xml:space="preserve">$1.91 </w:t>
            </w:r>
          </w:p>
        </w:tc>
        <w:tc>
          <w:tcPr>
            <w:tcW w:w="1358" w:type="dxa"/>
            <w:gridSpan w:val="2"/>
          </w:tcPr>
          <w:p w:rsidR="003276F0" w:rsidRDefault="003276F0">
            <w:pPr>
              <w:pStyle w:val="Default"/>
              <w:rPr>
                <w:sz w:val="16"/>
                <w:szCs w:val="16"/>
              </w:rPr>
            </w:pPr>
            <w:r>
              <w:rPr>
                <w:sz w:val="16"/>
                <w:szCs w:val="16"/>
              </w:rPr>
              <w:t xml:space="preserve">$1.90 </w:t>
            </w:r>
          </w:p>
        </w:tc>
        <w:tc>
          <w:tcPr>
            <w:tcW w:w="1358" w:type="dxa"/>
            <w:gridSpan w:val="2"/>
          </w:tcPr>
          <w:p w:rsidR="003276F0" w:rsidRDefault="003276F0">
            <w:pPr>
              <w:pStyle w:val="Default"/>
              <w:rPr>
                <w:sz w:val="16"/>
                <w:szCs w:val="16"/>
              </w:rPr>
            </w:pPr>
            <w:r>
              <w:rPr>
                <w:sz w:val="16"/>
                <w:szCs w:val="16"/>
              </w:rPr>
              <w:t xml:space="preserve">$0.01 </w:t>
            </w:r>
          </w:p>
        </w:tc>
        <w:tc>
          <w:tcPr>
            <w:tcW w:w="1360" w:type="dxa"/>
          </w:tcPr>
          <w:p w:rsidR="003276F0" w:rsidRDefault="003276F0">
            <w:pPr>
              <w:pStyle w:val="Default"/>
              <w:rPr>
                <w:sz w:val="16"/>
                <w:szCs w:val="16"/>
              </w:rPr>
            </w:pPr>
            <w:r>
              <w:rPr>
                <w:sz w:val="16"/>
                <w:szCs w:val="16"/>
              </w:rPr>
              <w:t xml:space="preserve">per GGE </w:t>
            </w:r>
          </w:p>
        </w:tc>
      </w:tr>
      <w:tr w:rsidR="003276F0" w:rsidTr="003276F0">
        <w:tblPrEx>
          <w:tblCellMar>
            <w:top w:w="0" w:type="dxa"/>
            <w:bottom w:w="0" w:type="dxa"/>
          </w:tblCellMar>
        </w:tblPrEx>
        <w:trPr>
          <w:trHeight w:val="103"/>
        </w:trPr>
        <w:tc>
          <w:tcPr>
            <w:tcW w:w="1358" w:type="dxa"/>
          </w:tcPr>
          <w:p w:rsidR="003276F0" w:rsidRDefault="003276F0">
            <w:pPr>
              <w:pStyle w:val="Default"/>
              <w:rPr>
                <w:sz w:val="16"/>
                <w:szCs w:val="16"/>
              </w:rPr>
            </w:pPr>
            <w:r>
              <w:rPr>
                <w:sz w:val="16"/>
                <w:szCs w:val="16"/>
              </w:rPr>
              <w:t xml:space="preserve">Ethanol (E85) </w:t>
            </w:r>
          </w:p>
        </w:tc>
        <w:tc>
          <w:tcPr>
            <w:tcW w:w="1358" w:type="dxa"/>
            <w:gridSpan w:val="2"/>
          </w:tcPr>
          <w:p w:rsidR="003276F0" w:rsidRDefault="003276F0">
            <w:pPr>
              <w:pStyle w:val="Default"/>
              <w:rPr>
                <w:sz w:val="16"/>
                <w:szCs w:val="16"/>
              </w:rPr>
            </w:pPr>
            <w:r>
              <w:rPr>
                <w:sz w:val="16"/>
                <w:szCs w:val="16"/>
              </w:rPr>
              <w:t xml:space="preserve">$2.30 </w:t>
            </w:r>
          </w:p>
        </w:tc>
        <w:tc>
          <w:tcPr>
            <w:tcW w:w="1358" w:type="dxa"/>
            <w:gridSpan w:val="2"/>
          </w:tcPr>
          <w:p w:rsidR="003276F0" w:rsidRDefault="003276F0">
            <w:pPr>
              <w:pStyle w:val="Default"/>
              <w:rPr>
                <w:sz w:val="16"/>
                <w:szCs w:val="16"/>
              </w:rPr>
            </w:pPr>
            <w:r>
              <w:rPr>
                <w:sz w:val="16"/>
                <w:szCs w:val="16"/>
              </w:rPr>
              <w:t xml:space="preserve">$2.42 </w:t>
            </w:r>
          </w:p>
        </w:tc>
        <w:tc>
          <w:tcPr>
            <w:tcW w:w="1358" w:type="dxa"/>
            <w:gridSpan w:val="2"/>
          </w:tcPr>
          <w:p w:rsidR="003276F0" w:rsidRDefault="003276F0">
            <w:pPr>
              <w:pStyle w:val="Default"/>
              <w:rPr>
                <w:sz w:val="16"/>
                <w:szCs w:val="16"/>
              </w:rPr>
            </w:pPr>
            <w:r>
              <w:rPr>
                <w:sz w:val="16"/>
                <w:szCs w:val="16"/>
              </w:rPr>
              <w:t xml:space="preserve">($0.12) </w:t>
            </w:r>
          </w:p>
        </w:tc>
        <w:tc>
          <w:tcPr>
            <w:tcW w:w="1360" w:type="dxa"/>
          </w:tcPr>
          <w:p w:rsidR="003276F0" w:rsidRDefault="003276F0">
            <w:pPr>
              <w:pStyle w:val="Default"/>
              <w:rPr>
                <w:sz w:val="16"/>
                <w:szCs w:val="16"/>
              </w:rPr>
            </w:pPr>
            <w:r>
              <w:rPr>
                <w:sz w:val="16"/>
                <w:szCs w:val="16"/>
              </w:rPr>
              <w:t xml:space="preserve">per gallon </w:t>
            </w:r>
          </w:p>
        </w:tc>
      </w:tr>
      <w:tr w:rsidR="003276F0" w:rsidTr="003276F0">
        <w:tblPrEx>
          <w:tblCellMar>
            <w:top w:w="0" w:type="dxa"/>
            <w:bottom w:w="0" w:type="dxa"/>
          </w:tblCellMar>
        </w:tblPrEx>
        <w:trPr>
          <w:trHeight w:val="92"/>
        </w:trPr>
        <w:tc>
          <w:tcPr>
            <w:tcW w:w="1358" w:type="dxa"/>
          </w:tcPr>
          <w:p w:rsidR="003276F0" w:rsidRDefault="003276F0">
            <w:pPr>
              <w:pStyle w:val="Default"/>
              <w:rPr>
                <w:sz w:val="16"/>
                <w:szCs w:val="16"/>
              </w:rPr>
            </w:pPr>
            <w:r>
              <w:rPr>
                <w:sz w:val="16"/>
                <w:szCs w:val="16"/>
              </w:rPr>
              <w:t xml:space="preserve">Propane </w:t>
            </w:r>
          </w:p>
        </w:tc>
        <w:tc>
          <w:tcPr>
            <w:tcW w:w="1358" w:type="dxa"/>
            <w:gridSpan w:val="2"/>
          </w:tcPr>
          <w:p w:rsidR="003276F0" w:rsidRDefault="003276F0">
            <w:pPr>
              <w:pStyle w:val="Default"/>
              <w:rPr>
                <w:sz w:val="16"/>
                <w:szCs w:val="16"/>
              </w:rPr>
            </w:pPr>
            <w:r>
              <w:rPr>
                <w:sz w:val="16"/>
                <w:szCs w:val="16"/>
              </w:rPr>
              <w:t xml:space="preserve">$2.90 </w:t>
            </w:r>
          </w:p>
        </w:tc>
        <w:tc>
          <w:tcPr>
            <w:tcW w:w="1358" w:type="dxa"/>
            <w:gridSpan w:val="2"/>
          </w:tcPr>
          <w:p w:rsidR="003276F0" w:rsidRDefault="003276F0">
            <w:pPr>
              <w:pStyle w:val="Default"/>
              <w:rPr>
                <w:sz w:val="16"/>
                <w:szCs w:val="16"/>
              </w:rPr>
            </w:pPr>
            <w:r>
              <w:rPr>
                <w:sz w:val="16"/>
                <w:szCs w:val="16"/>
              </w:rPr>
              <w:t xml:space="preserve">$2.89 </w:t>
            </w:r>
          </w:p>
        </w:tc>
        <w:tc>
          <w:tcPr>
            <w:tcW w:w="1358" w:type="dxa"/>
            <w:gridSpan w:val="2"/>
          </w:tcPr>
          <w:p w:rsidR="003276F0" w:rsidRDefault="003276F0">
            <w:pPr>
              <w:pStyle w:val="Default"/>
              <w:rPr>
                <w:sz w:val="16"/>
                <w:szCs w:val="16"/>
              </w:rPr>
            </w:pPr>
            <w:r>
              <w:rPr>
                <w:sz w:val="16"/>
                <w:szCs w:val="16"/>
              </w:rPr>
              <w:t xml:space="preserve">$0.01 </w:t>
            </w:r>
          </w:p>
        </w:tc>
        <w:tc>
          <w:tcPr>
            <w:tcW w:w="1360" w:type="dxa"/>
          </w:tcPr>
          <w:p w:rsidR="003276F0" w:rsidRDefault="003276F0">
            <w:pPr>
              <w:pStyle w:val="Default"/>
              <w:rPr>
                <w:sz w:val="16"/>
                <w:szCs w:val="16"/>
              </w:rPr>
            </w:pPr>
            <w:r>
              <w:rPr>
                <w:sz w:val="16"/>
                <w:szCs w:val="16"/>
              </w:rPr>
              <w:t xml:space="preserve">per gallon </w:t>
            </w:r>
          </w:p>
        </w:tc>
      </w:tr>
      <w:tr w:rsidR="003276F0" w:rsidTr="003276F0">
        <w:tblPrEx>
          <w:tblCellMar>
            <w:top w:w="0" w:type="dxa"/>
            <w:bottom w:w="0" w:type="dxa"/>
          </w:tblCellMar>
        </w:tblPrEx>
        <w:trPr>
          <w:trHeight w:val="102"/>
        </w:trPr>
        <w:tc>
          <w:tcPr>
            <w:tcW w:w="1358" w:type="dxa"/>
          </w:tcPr>
          <w:p w:rsidR="003276F0" w:rsidRDefault="003276F0">
            <w:pPr>
              <w:pStyle w:val="Default"/>
              <w:rPr>
                <w:sz w:val="16"/>
                <w:szCs w:val="16"/>
              </w:rPr>
            </w:pPr>
            <w:r>
              <w:rPr>
                <w:sz w:val="16"/>
                <w:szCs w:val="16"/>
              </w:rPr>
              <w:t xml:space="preserve">Biodiesel (B20) </w:t>
            </w:r>
          </w:p>
        </w:tc>
        <w:tc>
          <w:tcPr>
            <w:tcW w:w="1358" w:type="dxa"/>
            <w:gridSpan w:val="2"/>
          </w:tcPr>
          <w:p w:rsidR="003276F0" w:rsidRDefault="003276F0">
            <w:pPr>
              <w:pStyle w:val="Default"/>
              <w:rPr>
                <w:sz w:val="16"/>
                <w:szCs w:val="16"/>
              </w:rPr>
            </w:pPr>
            <w:r>
              <w:rPr>
                <w:sz w:val="16"/>
                <w:szCs w:val="16"/>
              </w:rPr>
              <w:t xml:space="preserve">$3.06 </w:t>
            </w:r>
          </w:p>
        </w:tc>
        <w:tc>
          <w:tcPr>
            <w:tcW w:w="1358" w:type="dxa"/>
            <w:gridSpan w:val="2"/>
          </w:tcPr>
          <w:p w:rsidR="003276F0" w:rsidRDefault="003276F0">
            <w:pPr>
              <w:pStyle w:val="Default"/>
              <w:rPr>
                <w:sz w:val="16"/>
                <w:szCs w:val="16"/>
              </w:rPr>
            </w:pPr>
            <w:r>
              <w:rPr>
                <w:sz w:val="16"/>
                <w:szCs w:val="16"/>
              </w:rPr>
              <w:t xml:space="preserve">$3.12 </w:t>
            </w:r>
          </w:p>
        </w:tc>
        <w:tc>
          <w:tcPr>
            <w:tcW w:w="1358" w:type="dxa"/>
            <w:gridSpan w:val="2"/>
          </w:tcPr>
          <w:p w:rsidR="003276F0" w:rsidRDefault="003276F0">
            <w:pPr>
              <w:pStyle w:val="Default"/>
              <w:rPr>
                <w:sz w:val="16"/>
                <w:szCs w:val="16"/>
              </w:rPr>
            </w:pPr>
            <w:r>
              <w:rPr>
                <w:sz w:val="16"/>
                <w:szCs w:val="16"/>
              </w:rPr>
              <w:t xml:space="preserve">($0.06) </w:t>
            </w:r>
          </w:p>
        </w:tc>
        <w:tc>
          <w:tcPr>
            <w:tcW w:w="1360" w:type="dxa"/>
          </w:tcPr>
          <w:p w:rsidR="003276F0" w:rsidRDefault="003276F0">
            <w:pPr>
              <w:pStyle w:val="Default"/>
              <w:rPr>
                <w:sz w:val="16"/>
                <w:szCs w:val="16"/>
              </w:rPr>
            </w:pPr>
            <w:r>
              <w:rPr>
                <w:sz w:val="16"/>
                <w:szCs w:val="16"/>
              </w:rPr>
              <w:t xml:space="preserve">per gallon </w:t>
            </w:r>
          </w:p>
        </w:tc>
      </w:tr>
      <w:tr w:rsidR="003276F0" w:rsidTr="003276F0">
        <w:tblPrEx>
          <w:tblCellMar>
            <w:top w:w="0" w:type="dxa"/>
            <w:bottom w:w="0" w:type="dxa"/>
          </w:tblCellMar>
        </w:tblPrEx>
        <w:trPr>
          <w:trHeight w:val="92"/>
        </w:trPr>
        <w:tc>
          <w:tcPr>
            <w:tcW w:w="1358" w:type="dxa"/>
          </w:tcPr>
          <w:p w:rsidR="003276F0" w:rsidRDefault="003276F0">
            <w:pPr>
              <w:pStyle w:val="Default"/>
              <w:rPr>
                <w:sz w:val="16"/>
                <w:szCs w:val="16"/>
              </w:rPr>
            </w:pPr>
            <w:r>
              <w:rPr>
                <w:sz w:val="16"/>
                <w:szCs w:val="16"/>
              </w:rPr>
              <w:t xml:space="preserve">Biodiesel (B99-B100) </w:t>
            </w:r>
          </w:p>
        </w:tc>
        <w:tc>
          <w:tcPr>
            <w:tcW w:w="1358" w:type="dxa"/>
            <w:gridSpan w:val="2"/>
          </w:tcPr>
          <w:p w:rsidR="003276F0" w:rsidRDefault="003276F0">
            <w:pPr>
              <w:pStyle w:val="Default"/>
              <w:rPr>
                <w:sz w:val="16"/>
                <w:szCs w:val="16"/>
              </w:rPr>
            </w:pPr>
            <w:r>
              <w:rPr>
                <w:sz w:val="16"/>
                <w:szCs w:val="16"/>
              </w:rPr>
              <w:t xml:space="preserve">$3.75 </w:t>
            </w:r>
          </w:p>
        </w:tc>
        <w:tc>
          <w:tcPr>
            <w:tcW w:w="1358" w:type="dxa"/>
            <w:gridSpan w:val="2"/>
          </w:tcPr>
          <w:p w:rsidR="003276F0" w:rsidRDefault="003276F0">
            <w:pPr>
              <w:pStyle w:val="Default"/>
              <w:rPr>
                <w:sz w:val="16"/>
                <w:szCs w:val="16"/>
              </w:rPr>
            </w:pPr>
            <w:r>
              <w:rPr>
                <w:sz w:val="16"/>
                <w:szCs w:val="16"/>
              </w:rPr>
              <w:t xml:space="preserve">$3.57 </w:t>
            </w:r>
          </w:p>
        </w:tc>
        <w:tc>
          <w:tcPr>
            <w:tcW w:w="1358" w:type="dxa"/>
            <w:gridSpan w:val="2"/>
          </w:tcPr>
          <w:p w:rsidR="003276F0" w:rsidRDefault="003276F0">
            <w:pPr>
              <w:pStyle w:val="Default"/>
              <w:rPr>
                <w:sz w:val="16"/>
                <w:szCs w:val="16"/>
              </w:rPr>
            </w:pPr>
            <w:r>
              <w:rPr>
                <w:sz w:val="16"/>
                <w:szCs w:val="16"/>
              </w:rPr>
              <w:t xml:space="preserve">$0.18 </w:t>
            </w:r>
          </w:p>
        </w:tc>
        <w:tc>
          <w:tcPr>
            <w:tcW w:w="1360" w:type="dxa"/>
          </w:tcPr>
          <w:p w:rsidR="003276F0" w:rsidRDefault="003276F0">
            <w:pPr>
              <w:pStyle w:val="Default"/>
              <w:rPr>
                <w:sz w:val="16"/>
                <w:szCs w:val="16"/>
              </w:rPr>
            </w:pPr>
            <w:r>
              <w:rPr>
                <w:sz w:val="16"/>
                <w:szCs w:val="16"/>
              </w:rPr>
              <w:t xml:space="preserve">per gallon </w:t>
            </w:r>
          </w:p>
        </w:tc>
      </w:tr>
    </w:tbl>
    <w:p w:rsidR="003276F0" w:rsidRDefault="003276F0" w:rsidP="003276F0">
      <w:pPr>
        <w:pStyle w:val="ListParagraph"/>
        <w:numPr>
          <w:ilvl w:val="1"/>
          <w:numId w:val="2"/>
        </w:numPr>
        <w:spacing w:after="120" w:line="240" w:lineRule="auto"/>
      </w:pPr>
      <w:r w:rsidRPr="003276F0">
        <w:t xml:space="preserve">B20 prices are higher than regular diesel by about 11 cents. B99/B100 blends have a cost of about 80 cents per </w:t>
      </w:r>
      <w:r>
        <w:t>gallon more than regular diesel (</w:t>
      </w:r>
      <w:r w:rsidRPr="003276F0">
        <w:t>http://www.afdc.energy.gov/afdc/pdfs/afpr_jul_10.pdf</w:t>
      </w:r>
      <w:r>
        <w:t>)</w:t>
      </w:r>
    </w:p>
    <w:tbl>
      <w:tblPr>
        <w:tblW w:w="0" w:type="auto"/>
        <w:tblInd w:w="720" w:type="dxa"/>
        <w:tblBorders>
          <w:top w:val="nil"/>
          <w:left w:val="nil"/>
          <w:bottom w:val="nil"/>
          <w:right w:val="nil"/>
        </w:tblBorders>
        <w:tblLayout w:type="fixed"/>
        <w:tblLook w:val="0000"/>
      </w:tblPr>
      <w:tblGrid>
        <w:gridCol w:w="1338"/>
        <w:gridCol w:w="446"/>
        <w:gridCol w:w="892"/>
        <w:gridCol w:w="892"/>
        <w:gridCol w:w="446"/>
        <w:gridCol w:w="1338"/>
      </w:tblGrid>
      <w:tr w:rsidR="003276F0" w:rsidTr="003276F0">
        <w:tblPrEx>
          <w:tblCellMar>
            <w:top w:w="0" w:type="dxa"/>
            <w:bottom w:w="0" w:type="dxa"/>
          </w:tblCellMar>
        </w:tblPrEx>
        <w:trPr>
          <w:trHeight w:val="395"/>
        </w:trPr>
        <w:tc>
          <w:tcPr>
            <w:tcW w:w="1784" w:type="dxa"/>
            <w:gridSpan w:val="2"/>
          </w:tcPr>
          <w:p w:rsidR="003276F0" w:rsidRDefault="003276F0">
            <w:pPr>
              <w:pStyle w:val="Default"/>
              <w:rPr>
                <w:sz w:val="16"/>
                <w:szCs w:val="16"/>
              </w:rPr>
            </w:pPr>
            <w:r>
              <w:rPr>
                <w:b/>
                <w:bCs/>
                <w:sz w:val="18"/>
                <w:szCs w:val="18"/>
              </w:rPr>
              <w:t xml:space="preserve">Table 2. April 2010 Overall Average Fuel Prices on Energy-Equivalent Basis </w:t>
            </w:r>
            <w:r>
              <w:rPr>
                <w:i/>
                <w:iCs/>
                <w:sz w:val="16"/>
                <w:szCs w:val="16"/>
              </w:rPr>
              <w:t xml:space="preserve">Nationwide Average Price in Gasoline Gallon Equivalents </w:t>
            </w:r>
          </w:p>
        </w:tc>
        <w:tc>
          <w:tcPr>
            <w:tcW w:w="1784" w:type="dxa"/>
            <w:gridSpan w:val="2"/>
          </w:tcPr>
          <w:p w:rsidR="003276F0" w:rsidRDefault="003276F0">
            <w:pPr>
              <w:pStyle w:val="Default"/>
              <w:rPr>
                <w:sz w:val="16"/>
                <w:szCs w:val="16"/>
              </w:rPr>
            </w:pPr>
            <w:r>
              <w:rPr>
                <w:i/>
                <w:iCs/>
                <w:sz w:val="16"/>
                <w:szCs w:val="16"/>
              </w:rPr>
              <w:t xml:space="preserve">Nationwide Average Price in Diesel Gallon Equivalents </w:t>
            </w:r>
          </w:p>
        </w:tc>
        <w:tc>
          <w:tcPr>
            <w:tcW w:w="1784" w:type="dxa"/>
            <w:gridSpan w:val="2"/>
          </w:tcPr>
          <w:p w:rsidR="003276F0" w:rsidRDefault="003276F0">
            <w:pPr>
              <w:pStyle w:val="Default"/>
              <w:rPr>
                <w:sz w:val="16"/>
                <w:szCs w:val="16"/>
              </w:rPr>
            </w:pPr>
            <w:r>
              <w:rPr>
                <w:i/>
                <w:iCs/>
                <w:sz w:val="16"/>
                <w:szCs w:val="16"/>
              </w:rPr>
              <w:t xml:space="preserve">Nationwide Average Price in Dollars per Million Btu </w:t>
            </w:r>
          </w:p>
        </w:tc>
      </w:tr>
      <w:tr w:rsidR="003276F0" w:rsidTr="003276F0">
        <w:tblPrEx>
          <w:tblCellMar>
            <w:top w:w="0" w:type="dxa"/>
            <w:bottom w:w="0" w:type="dxa"/>
          </w:tblCellMar>
        </w:tblPrEx>
        <w:trPr>
          <w:trHeight w:val="92"/>
        </w:trPr>
        <w:tc>
          <w:tcPr>
            <w:tcW w:w="1338" w:type="dxa"/>
          </w:tcPr>
          <w:p w:rsidR="003276F0" w:rsidRDefault="003276F0">
            <w:pPr>
              <w:pStyle w:val="Default"/>
              <w:rPr>
                <w:sz w:val="16"/>
                <w:szCs w:val="16"/>
              </w:rPr>
            </w:pPr>
            <w:r>
              <w:rPr>
                <w:sz w:val="16"/>
                <w:szCs w:val="16"/>
              </w:rPr>
              <w:t xml:space="preserve">Gasoline </w:t>
            </w:r>
          </w:p>
        </w:tc>
        <w:tc>
          <w:tcPr>
            <w:tcW w:w="1338" w:type="dxa"/>
            <w:gridSpan w:val="2"/>
          </w:tcPr>
          <w:p w:rsidR="003276F0" w:rsidRDefault="003276F0">
            <w:pPr>
              <w:pStyle w:val="Default"/>
              <w:rPr>
                <w:sz w:val="16"/>
                <w:szCs w:val="16"/>
              </w:rPr>
            </w:pPr>
            <w:r>
              <w:rPr>
                <w:sz w:val="16"/>
                <w:szCs w:val="16"/>
              </w:rPr>
              <w:t xml:space="preserve">$2.71 </w:t>
            </w:r>
          </w:p>
        </w:tc>
        <w:tc>
          <w:tcPr>
            <w:tcW w:w="1338" w:type="dxa"/>
            <w:gridSpan w:val="2"/>
          </w:tcPr>
          <w:p w:rsidR="003276F0" w:rsidRDefault="003276F0">
            <w:pPr>
              <w:pStyle w:val="Default"/>
              <w:rPr>
                <w:sz w:val="16"/>
                <w:szCs w:val="16"/>
              </w:rPr>
            </w:pPr>
            <w:r>
              <w:rPr>
                <w:sz w:val="16"/>
                <w:szCs w:val="16"/>
              </w:rPr>
              <w:t xml:space="preserve">$3.03 </w:t>
            </w:r>
          </w:p>
        </w:tc>
        <w:tc>
          <w:tcPr>
            <w:tcW w:w="1338" w:type="dxa"/>
          </w:tcPr>
          <w:p w:rsidR="003276F0" w:rsidRDefault="003276F0">
            <w:pPr>
              <w:pStyle w:val="Default"/>
              <w:rPr>
                <w:sz w:val="16"/>
                <w:szCs w:val="16"/>
              </w:rPr>
            </w:pPr>
            <w:r>
              <w:rPr>
                <w:sz w:val="16"/>
                <w:szCs w:val="16"/>
              </w:rPr>
              <w:t xml:space="preserve">$23.52 </w:t>
            </w:r>
          </w:p>
        </w:tc>
      </w:tr>
      <w:tr w:rsidR="003276F0" w:rsidTr="003276F0">
        <w:tblPrEx>
          <w:tblCellMar>
            <w:top w:w="0" w:type="dxa"/>
            <w:bottom w:w="0" w:type="dxa"/>
          </w:tblCellMar>
        </w:tblPrEx>
        <w:trPr>
          <w:trHeight w:val="103"/>
        </w:trPr>
        <w:tc>
          <w:tcPr>
            <w:tcW w:w="1338" w:type="dxa"/>
          </w:tcPr>
          <w:p w:rsidR="003276F0" w:rsidRDefault="003276F0">
            <w:pPr>
              <w:pStyle w:val="Default"/>
              <w:rPr>
                <w:sz w:val="16"/>
                <w:szCs w:val="16"/>
              </w:rPr>
            </w:pPr>
            <w:r>
              <w:rPr>
                <w:sz w:val="16"/>
                <w:szCs w:val="16"/>
              </w:rPr>
              <w:t xml:space="preserve">Diesel </w:t>
            </w:r>
          </w:p>
        </w:tc>
        <w:tc>
          <w:tcPr>
            <w:tcW w:w="1338" w:type="dxa"/>
            <w:gridSpan w:val="2"/>
          </w:tcPr>
          <w:p w:rsidR="003276F0" w:rsidRDefault="003276F0">
            <w:pPr>
              <w:pStyle w:val="Default"/>
              <w:rPr>
                <w:sz w:val="16"/>
                <w:szCs w:val="16"/>
              </w:rPr>
            </w:pPr>
            <w:r>
              <w:rPr>
                <w:sz w:val="16"/>
                <w:szCs w:val="16"/>
              </w:rPr>
              <w:t xml:space="preserve">$2.65 </w:t>
            </w:r>
          </w:p>
        </w:tc>
        <w:tc>
          <w:tcPr>
            <w:tcW w:w="1338" w:type="dxa"/>
            <w:gridSpan w:val="2"/>
          </w:tcPr>
          <w:p w:rsidR="003276F0" w:rsidRDefault="003276F0">
            <w:pPr>
              <w:pStyle w:val="Default"/>
              <w:rPr>
                <w:sz w:val="16"/>
                <w:szCs w:val="16"/>
              </w:rPr>
            </w:pPr>
            <w:r>
              <w:rPr>
                <w:sz w:val="16"/>
                <w:szCs w:val="16"/>
              </w:rPr>
              <w:t xml:space="preserve">$2.95 </w:t>
            </w:r>
          </w:p>
        </w:tc>
        <w:tc>
          <w:tcPr>
            <w:tcW w:w="1338" w:type="dxa"/>
          </w:tcPr>
          <w:p w:rsidR="003276F0" w:rsidRDefault="003276F0">
            <w:pPr>
              <w:pStyle w:val="Default"/>
              <w:rPr>
                <w:sz w:val="16"/>
                <w:szCs w:val="16"/>
              </w:rPr>
            </w:pPr>
            <w:r>
              <w:rPr>
                <w:sz w:val="16"/>
                <w:szCs w:val="16"/>
              </w:rPr>
              <w:t xml:space="preserve">$22.94 </w:t>
            </w:r>
          </w:p>
        </w:tc>
      </w:tr>
      <w:tr w:rsidR="003276F0" w:rsidTr="003276F0">
        <w:tblPrEx>
          <w:tblCellMar>
            <w:top w:w="0" w:type="dxa"/>
            <w:bottom w:w="0" w:type="dxa"/>
          </w:tblCellMar>
        </w:tblPrEx>
        <w:trPr>
          <w:trHeight w:val="92"/>
        </w:trPr>
        <w:tc>
          <w:tcPr>
            <w:tcW w:w="1338" w:type="dxa"/>
          </w:tcPr>
          <w:p w:rsidR="003276F0" w:rsidRDefault="003276F0">
            <w:pPr>
              <w:pStyle w:val="Default"/>
              <w:rPr>
                <w:sz w:val="16"/>
                <w:szCs w:val="16"/>
              </w:rPr>
            </w:pPr>
            <w:r>
              <w:rPr>
                <w:sz w:val="16"/>
                <w:szCs w:val="16"/>
              </w:rPr>
              <w:t xml:space="preserve">CNG </w:t>
            </w:r>
          </w:p>
        </w:tc>
        <w:tc>
          <w:tcPr>
            <w:tcW w:w="1338" w:type="dxa"/>
            <w:gridSpan w:val="2"/>
          </w:tcPr>
          <w:p w:rsidR="003276F0" w:rsidRDefault="003276F0">
            <w:pPr>
              <w:pStyle w:val="Default"/>
              <w:rPr>
                <w:sz w:val="16"/>
                <w:szCs w:val="16"/>
              </w:rPr>
            </w:pPr>
            <w:r>
              <w:rPr>
                <w:sz w:val="16"/>
                <w:szCs w:val="16"/>
              </w:rPr>
              <w:t xml:space="preserve">$1.91 </w:t>
            </w:r>
          </w:p>
        </w:tc>
        <w:tc>
          <w:tcPr>
            <w:tcW w:w="1338" w:type="dxa"/>
            <w:gridSpan w:val="2"/>
          </w:tcPr>
          <w:p w:rsidR="003276F0" w:rsidRDefault="003276F0">
            <w:pPr>
              <w:pStyle w:val="Default"/>
              <w:rPr>
                <w:sz w:val="16"/>
                <w:szCs w:val="16"/>
              </w:rPr>
            </w:pPr>
            <w:r>
              <w:rPr>
                <w:sz w:val="16"/>
                <w:szCs w:val="16"/>
              </w:rPr>
              <w:t xml:space="preserve">$2.13 </w:t>
            </w:r>
          </w:p>
        </w:tc>
        <w:tc>
          <w:tcPr>
            <w:tcW w:w="1338" w:type="dxa"/>
          </w:tcPr>
          <w:p w:rsidR="003276F0" w:rsidRDefault="003276F0">
            <w:pPr>
              <w:pStyle w:val="Default"/>
              <w:rPr>
                <w:sz w:val="16"/>
                <w:szCs w:val="16"/>
              </w:rPr>
            </w:pPr>
            <w:r>
              <w:rPr>
                <w:sz w:val="16"/>
                <w:szCs w:val="16"/>
              </w:rPr>
              <w:t xml:space="preserve">$16.57 </w:t>
            </w:r>
          </w:p>
        </w:tc>
      </w:tr>
      <w:tr w:rsidR="003276F0" w:rsidTr="003276F0">
        <w:tblPrEx>
          <w:tblCellMar>
            <w:top w:w="0" w:type="dxa"/>
            <w:bottom w:w="0" w:type="dxa"/>
          </w:tblCellMar>
        </w:tblPrEx>
        <w:trPr>
          <w:trHeight w:val="102"/>
        </w:trPr>
        <w:tc>
          <w:tcPr>
            <w:tcW w:w="1338" w:type="dxa"/>
          </w:tcPr>
          <w:p w:rsidR="003276F0" w:rsidRDefault="003276F0">
            <w:pPr>
              <w:pStyle w:val="Default"/>
              <w:rPr>
                <w:sz w:val="16"/>
                <w:szCs w:val="16"/>
              </w:rPr>
            </w:pPr>
            <w:r>
              <w:rPr>
                <w:sz w:val="16"/>
                <w:szCs w:val="16"/>
              </w:rPr>
              <w:t xml:space="preserve">Ethanol (E85) </w:t>
            </w:r>
          </w:p>
        </w:tc>
        <w:tc>
          <w:tcPr>
            <w:tcW w:w="1338" w:type="dxa"/>
            <w:gridSpan w:val="2"/>
          </w:tcPr>
          <w:p w:rsidR="003276F0" w:rsidRDefault="003276F0">
            <w:pPr>
              <w:pStyle w:val="Default"/>
              <w:rPr>
                <w:sz w:val="16"/>
                <w:szCs w:val="16"/>
              </w:rPr>
            </w:pPr>
            <w:r>
              <w:rPr>
                <w:sz w:val="16"/>
                <w:szCs w:val="16"/>
              </w:rPr>
              <w:t xml:space="preserve">$3.25 </w:t>
            </w:r>
          </w:p>
        </w:tc>
        <w:tc>
          <w:tcPr>
            <w:tcW w:w="1338" w:type="dxa"/>
            <w:gridSpan w:val="2"/>
          </w:tcPr>
          <w:p w:rsidR="003276F0" w:rsidRDefault="003276F0">
            <w:pPr>
              <w:pStyle w:val="Default"/>
              <w:rPr>
                <w:sz w:val="16"/>
                <w:szCs w:val="16"/>
              </w:rPr>
            </w:pPr>
            <w:r>
              <w:rPr>
                <w:sz w:val="16"/>
                <w:szCs w:val="16"/>
              </w:rPr>
              <w:t xml:space="preserve">$3.63 </w:t>
            </w:r>
          </w:p>
        </w:tc>
        <w:tc>
          <w:tcPr>
            <w:tcW w:w="1338" w:type="dxa"/>
          </w:tcPr>
          <w:p w:rsidR="003276F0" w:rsidRDefault="003276F0">
            <w:pPr>
              <w:pStyle w:val="Default"/>
              <w:rPr>
                <w:sz w:val="16"/>
                <w:szCs w:val="16"/>
              </w:rPr>
            </w:pPr>
            <w:r>
              <w:rPr>
                <w:sz w:val="16"/>
                <w:szCs w:val="16"/>
              </w:rPr>
              <w:t xml:space="preserve">$28.19 </w:t>
            </w:r>
          </w:p>
        </w:tc>
      </w:tr>
      <w:tr w:rsidR="003276F0" w:rsidTr="003276F0">
        <w:tblPrEx>
          <w:tblCellMar>
            <w:top w:w="0" w:type="dxa"/>
            <w:bottom w:w="0" w:type="dxa"/>
          </w:tblCellMar>
        </w:tblPrEx>
        <w:trPr>
          <w:trHeight w:val="92"/>
        </w:trPr>
        <w:tc>
          <w:tcPr>
            <w:tcW w:w="1338" w:type="dxa"/>
          </w:tcPr>
          <w:p w:rsidR="003276F0" w:rsidRDefault="003276F0">
            <w:pPr>
              <w:pStyle w:val="Default"/>
              <w:rPr>
                <w:sz w:val="16"/>
                <w:szCs w:val="16"/>
              </w:rPr>
            </w:pPr>
            <w:r>
              <w:rPr>
                <w:sz w:val="16"/>
                <w:szCs w:val="16"/>
              </w:rPr>
              <w:t xml:space="preserve">Propane </w:t>
            </w:r>
          </w:p>
        </w:tc>
        <w:tc>
          <w:tcPr>
            <w:tcW w:w="1338" w:type="dxa"/>
            <w:gridSpan w:val="2"/>
          </w:tcPr>
          <w:p w:rsidR="003276F0" w:rsidRDefault="003276F0">
            <w:pPr>
              <w:pStyle w:val="Default"/>
              <w:rPr>
                <w:sz w:val="16"/>
                <w:szCs w:val="16"/>
              </w:rPr>
            </w:pPr>
            <w:r>
              <w:rPr>
                <w:sz w:val="16"/>
                <w:szCs w:val="16"/>
              </w:rPr>
              <w:t xml:space="preserve">$4.01 </w:t>
            </w:r>
          </w:p>
        </w:tc>
        <w:tc>
          <w:tcPr>
            <w:tcW w:w="1338" w:type="dxa"/>
            <w:gridSpan w:val="2"/>
          </w:tcPr>
          <w:p w:rsidR="003276F0" w:rsidRDefault="003276F0">
            <w:pPr>
              <w:pStyle w:val="Default"/>
              <w:rPr>
                <w:sz w:val="16"/>
                <w:szCs w:val="16"/>
              </w:rPr>
            </w:pPr>
            <w:r>
              <w:rPr>
                <w:sz w:val="16"/>
                <w:szCs w:val="16"/>
              </w:rPr>
              <w:t xml:space="preserve">$4.47 </w:t>
            </w:r>
          </w:p>
        </w:tc>
        <w:tc>
          <w:tcPr>
            <w:tcW w:w="1338" w:type="dxa"/>
          </w:tcPr>
          <w:p w:rsidR="003276F0" w:rsidRDefault="003276F0">
            <w:pPr>
              <w:pStyle w:val="Default"/>
              <w:rPr>
                <w:sz w:val="16"/>
                <w:szCs w:val="16"/>
              </w:rPr>
            </w:pPr>
            <w:r>
              <w:rPr>
                <w:sz w:val="16"/>
                <w:szCs w:val="16"/>
              </w:rPr>
              <w:t xml:space="preserve">$34.77 </w:t>
            </w:r>
          </w:p>
        </w:tc>
      </w:tr>
      <w:tr w:rsidR="003276F0" w:rsidTr="003276F0">
        <w:tblPrEx>
          <w:tblCellMar>
            <w:top w:w="0" w:type="dxa"/>
            <w:bottom w:w="0" w:type="dxa"/>
          </w:tblCellMar>
        </w:tblPrEx>
        <w:trPr>
          <w:trHeight w:val="103"/>
        </w:trPr>
        <w:tc>
          <w:tcPr>
            <w:tcW w:w="1338" w:type="dxa"/>
          </w:tcPr>
          <w:p w:rsidR="003276F0" w:rsidRDefault="003276F0">
            <w:pPr>
              <w:pStyle w:val="Default"/>
              <w:rPr>
                <w:sz w:val="16"/>
                <w:szCs w:val="16"/>
              </w:rPr>
            </w:pPr>
            <w:r>
              <w:rPr>
                <w:sz w:val="16"/>
                <w:szCs w:val="16"/>
              </w:rPr>
              <w:t xml:space="preserve">Biodiesel (B20) </w:t>
            </w:r>
          </w:p>
        </w:tc>
        <w:tc>
          <w:tcPr>
            <w:tcW w:w="1338" w:type="dxa"/>
            <w:gridSpan w:val="2"/>
          </w:tcPr>
          <w:p w:rsidR="003276F0" w:rsidRDefault="003276F0">
            <w:pPr>
              <w:pStyle w:val="Default"/>
              <w:rPr>
                <w:sz w:val="16"/>
                <w:szCs w:val="16"/>
              </w:rPr>
            </w:pPr>
            <w:r>
              <w:rPr>
                <w:sz w:val="16"/>
                <w:szCs w:val="16"/>
              </w:rPr>
              <w:t xml:space="preserve">$2.79 </w:t>
            </w:r>
          </w:p>
        </w:tc>
        <w:tc>
          <w:tcPr>
            <w:tcW w:w="1338" w:type="dxa"/>
            <w:gridSpan w:val="2"/>
          </w:tcPr>
          <w:p w:rsidR="003276F0" w:rsidRDefault="003276F0">
            <w:pPr>
              <w:pStyle w:val="Default"/>
              <w:rPr>
                <w:sz w:val="16"/>
                <w:szCs w:val="16"/>
              </w:rPr>
            </w:pPr>
            <w:r>
              <w:rPr>
                <w:sz w:val="16"/>
                <w:szCs w:val="16"/>
              </w:rPr>
              <w:t xml:space="preserve">$3.11 </w:t>
            </w:r>
          </w:p>
        </w:tc>
        <w:tc>
          <w:tcPr>
            <w:tcW w:w="1338" w:type="dxa"/>
          </w:tcPr>
          <w:p w:rsidR="003276F0" w:rsidRDefault="003276F0">
            <w:pPr>
              <w:pStyle w:val="Default"/>
              <w:rPr>
                <w:sz w:val="16"/>
                <w:szCs w:val="16"/>
              </w:rPr>
            </w:pPr>
            <w:r>
              <w:rPr>
                <w:sz w:val="16"/>
                <w:szCs w:val="16"/>
              </w:rPr>
              <w:t xml:space="preserve">$24.18 </w:t>
            </w:r>
          </w:p>
        </w:tc>
      </w:tr>
      <w:tr w:rsidR="003276F0" w:rsidTr="003276F0">
        <w:tblPrEx>
          <w:tblCellMar>
            <w:top w:w="0" w:type="dxa"/>
            <w:bottom w:w="0" w:type="dxa"/>
          </w:tblCellMar>
        </w:tblPrEx>
        <w:trPr>
          <w:trHeight w:val="141"/>
        </w:trPr>
        <w:tc>
          <w:tcPr>
            <w:tcW w:w="1338" w:type="dxa"/>
          </w:tcPr>
          <w:p w:rsidR="003276F0" w:rsidRDefault="003276F0">
            <w:pPr>
              <w:pStyle w:val="Default"/>
              <w:rPr>
                <w:sz w:val="16"/>
                <w:szCs w:val="16"/>
              </w:rPr>
            </w:pPr>
            <w:r>
              <w:rPr>
                <w:sz w:val="16"/>
                <w:szCs w:val="16"/>
              </w:rPr>
              <w:t xml:space="preserve">Biodiesel (B99-B100) </w:t>
            </w:r>
          </w:p>
        </w:tc>
        <w:tc>
          <w:tcPr>
            <w:tcW w:w="1338" w:type="dxa"/>
            <w:gridSpan w:val="2"/>
          </w:tcPr>
          <w:p w:rsidR="003276F0" w:rsidRDefault="003276F0">
            <w:pPr>
              <w:pStyle w:val="Default"/>
              <w:rPr>
                <w:sz w:val="16"/>
                <w:szCs w:val="16"/>
              </w:rPr>
            </w:pPr>
            <w:r>
              <w:rPr>
                <w:sz w:val="16"/>
                <w:szCs w:val="16"/>
              </w:rPr>
              <w:t xml:space="preserve">$3.69 </w:t>
            </w:r>
          </w:p>
        </w:tc>
        <w:tc>
          <w:tcPr>
            <w:tcW w:w="1338" w:type="dxa"/>
            <w:gridSpan w:val="2"/>
          </w:tcPr>
          <w:p w:rsidR="003276F0" w:rsidRDefault="003276F0">
            <w:pPr>
              <w:pStyle w:val="Default"/>
              <w:rPr>
                <w:sz w:val="16"/>
                <w:szCs w:val="16"/>
              </w:rPr>
            </w:pPr>
            <w:r>
              <w:rPr>
                <w:sz w:val="16"/>
                <w:szCs w:val="16"/>
              </w:rPr>
              <w:t xml:space="preserve">$4.12 </w:t>
            </w:r>
          </w:p>
        </w:tc>
        <w:tc>
          <w:tcPr>
            <w:tcW w:w="1338" w:type="dxa"/>
          </w:tcPr>
          <w:p w:rsidR="003276F0" w:rsidRDefault="003276F0">
            <w:pPr>
              <w:pStyle w:val="Default"/>
              <w:rPr>
                <w:sz w:val="16"/>
                <w:szCs w:val="16"/>
              </w:rPr>
            </w:pPr>
            <w:r>
              <w:rPr>
                <w:sz w:val="16"/>
                <w:szCs w:val="16"/>
              </w:rPr>
              <w:t xml:space="preserve">$31.98 </w:t>
            </w:r>
          </w:p>
        </w:tc>
      </w:tr>
    </w:tbl>
    <w:p w:rsidR="003276F0" w:rsidRPr="003276F0" w:rsidRDefault="003276F0" w:rsidP="003276F0">
      <w:pPr>
        <w:pStyle w:val="ListParagraph"/>
        <w:numPr>
          <w:ilvl w:val="1"/>
          <w:numId w:val="2"/>
        </w:numPr>
        <w:spacing w:after="120" w:line="240" w:lineRule="auto"/>
      </w:pPr>
      <w:r w:rsidRPr="003276F0">
        <w:t>Because of differing energy contents per gallon for these fuels, the price paid per unit of energy content can differ somewhat from the price paid per gallon. Table 2 illustrates the fuel prices from Table 1 for the current reporting period normalized to a price per gasoline gallon equivalent (GGE), per diesel gallon equivalent (DGE), or per million Btu of energy.</w:t>
      </w:r>
    </w:p>
    <w:p w:rsidR="003276F0" w:rsidRPr="003276F0" w:rsidRDefault="003276F0" w:rsidP="003276F0">
      <w:pPr>
        <w:pStyle w:val="ListParagraph"/>
        <w:numPr>
          <w:ilvl w:val="1"/>
          <w:numId w:val="2"/>
        </w:numPr>
        <w:spacing w:after="120" w:line="240" w:lineRule="auto"/>
      </w:pPr>
      <w:r w:rsidRPr="003276F0">
        <w:t>Note that prices for the alternative fuels in terms of cost per gallon equivalent are generally higher than their cost per gallon because of their lower energy content per gallon</w:t>
      </w:r>
      <w:r>
        <w:t xml:space="preserve"> (2010 Price Report)</w:t>
      </w:r>
    </w:p>
    <w:p w:rsidR="00276E9F" w:rsidRPr="00C740A0" w:rsidRDefault="00276E9F" w:rsidP="00276E9F">
      <w:pPr>
        <w:pStyle w:val="ListParagraph"/>
        <w:numPr>
          <w:ilvl w:val="0"/>
          <w:numId w:val="2"/>
        </w:numPr>
        <w:spacing w:after="120" w:line="240" w:lineRule="auto"/>
      </w:pPr>
      <w:r>
        <w:rPr>
          <w:u w:val="single"/>
        </w:rPr>
        <w:t>Supply Chain Dynamics</w:t>
      </w:r>
    </w:p>
    <w:p w:rsidR="00C740A0" w:rsidRPr="00C740A0" w:rsidRDefault="00C740A0" w:rsidP="00C740A0">
      <w:pPr>
        <w:pStyle w:val="ListParagraph"/>
        <w:numPr>
          <w:ilvl w:val="1"/>
          <w:numId w:val="2"/>
        </w:numPr>
        <w:spacing w:after="120" w:line="240" w:lineRule="auto"/>
      </w:pPr>
      <w:r w:rsidRPr="00C740A0">
        <w:rPr>
          <w:rFonts w:cs="Times New Roman"/>
          <w:bCs/>
        </w:rPr>
        <w:t>Figure 6.1. Prices of vegetable oils used to produce biodiesel from 1996/1997 to 2016/2017</w:t>
      </w:r>
    </w:p>
    <w:p w:rsidR="00C740A0" w:rsidRPr="00276E9F" w:rsidRDefault="00C740A0" w:rsidP="00C740A0">
      <w:pPr>
        <w:spacing w:after="120" w:line="240" w:lineRule="auto"/>
        <w:ind w:left="360"/>
      </w:pPr>
      <w:r>
        <w:rPr>
          <w:noProof/>
        </w:rPr>
        <w:lastRenderedPageBreak/>
        <w:drawing>
          <wp:inline distT="0" distB="0" distL="0" distR="0">
            <wp:extent cx="4274654" cy="2905823"/>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274059" cy="2905418"/>
                    </a:xfrm>
                    <a:prstGeom prst="rect">
                      <a:avLst/>
                    </a:prstGeom>
                    <a:noFill/>
                    <a:ln w="9525">
                      <a:noFill/>
                      <a:miter lim="800000"/>
                      <a:headEnd/>
                      <a:tailEnd/>
                    </a:ln>
                  </pic:spPr>
                </pic:pic>
              </a:graphicData>
            </a:graphic>
          </wp:inline>
        </w:drawing>
      </w:r>
    </w:p>
    <w:p w:rsidR="00276E9F" w:rsidRPr="00152B2B" w:rsidRDefault="00276E9F" w:rsidP="00276E9F">
      <w:pPr>
        <w:pStyle w:val="ListParagraph"/>
        <w:numPr>
          <w:ilvl w:val="0"/>
          <w:numId w:val="2"/>
        </w:numPr>
        <w:spacing w:after="120" w:line="240" w:lineRule="auto"/>
      </w:pPr>
      <w:r>
        <w:rPr>
          <w:u w:val="single"/>
        </w:rPr>
        <w:t>Future Outlook of Production/Market Health and Key Factors</w:t>
      </w:r>
    </w:p>
    <w:p w:rsidR="00152B2B" w:rsidRDefault="00152B2B" w:rsidP="00152B2B">
      <w:pPr>
        <w:pStyle w:val="ListParagraph"/>
        <w:numPr>
          <w:ilvl w:val="1"/>
          <w:numId w:val="2"/>
        </w:numPr>
        <w:autoSpaceDE w:val="0"/>
        <w:autoSpaceDN w:val="0"/>
        <w:adjustRightInd w:val="0"/>
        <w:spacing w:after="0" w:line="240" w:lineRule="auto"/>
        <w:rPr>
          <w:rFonts w:cs="TimesNewRomanPSMT"/>
        </w:rPr>
      </w:pPr>
      <w:r w:rsidRPr="00152B2B">
        <w:rPr>
          <w:rFonts w:cs="TimesNewRomanPSMT"/>
        </w:rPr>
        <w:t>One way to forecast possible developing country actors in the second generation biofuel sector is to identify those countries that have the current capacity to produce biofuels and possibly become early movers in the emerging technologies. The Ernst and Young Biofuels Country Attractiveness Indices, ranking the attractiveness of global markets for investment in biologically derived renewable fuels, which include both ethanol and biodiesel, are a useful proxy</w:t>
      </w:r>
      <w:r w:rsidR="00FD7F2F">
        <w:rPr>
          <w:rFonts w:cs="TimesNewRomanPSMT"/>
        </w:rPr>
        <w:t xml:space="preserve"> </w:t>
      </w:r>
      <w:r w:rsidR="00D118CA">
        <w:rPr>
          <w:rFonts w:cs="TimesNewRomanPSMT"/>
        </w:rPr>
        <w:t>(BM&amp;CS)</w:t>
      </w:r>
    </w:p>
    <w:p w:rsidR="00E139A3" w:rsidRPr="00E139A3" w:rsidRDefault="00E139A3" w:rsidP="00152B2B">
      <w:pPr>
        <w:pStyle w:val="ListParagraph"/>
        <w:numPr>
          <w:ilvl w:val="1"/>
          <w:numId w:val="2"/>
        </w:numPr>
        <w:autoSpaceDE w:val="0"/>
        <w:autoSpaceDN w:val="0"/>
        <w:adjustRightInd w:val="0"/>
        <w:spacing w:after="0" w:line="240" w:lineRule="auto"/>
        <w:rPr>
          <w:rFonts w:cs="TimesNewRomanPSMT"/>
        </w:rPr>
      </w:pPr>
      <w:r w:rsidRPr="00E139A3">
        <w:rPr>
          <w:rFonts w:cs="Times New Roman"/>
          <w:bCs/>
        </w:rPr>
        <w:t>Table 5.2. All Biofuels Index at Q4 2007</w:t>
      </w:r>
      <w:r>
        <w:rPr>
          <w:rFonts w:cs="Times New Roman"/>
          <w:bCs/>
        </w:rPr>
        <w:t xml:space="preserve"> (in parenthesis is ranking in Q3 2007)</w:t>
      </w:r>
    </w:p>
    <w:tbl>
      <w:tblPr>
        <w:tblStyle w:val="TableGrid"/>
        <w:tblpPr w:leftFromText="180" w:rightFromText="180" w:vertAnchor="text" w:horzAnchor="margin" w:tblpY="35"/>
        <w:tblW w:w="0" w:type="auto"/>
        <w:tblInd w:w="720" w:type="dxa"/>
        <w:tblLook w:val="04A0"/>
      </w:tblPr>
      <w:tblGrid>
        <w:gridCol w:w="749"/>
        <w:gridCol w:w="1294"/>
        <w:gridCol w:w="963"/>
        <w:gridCol w:w="726"/>
        <w:gridCol w:w="821"/>
        <w:gridCol w:w="1139"/>
      </w:tblGrid>
      <w:tr w:rsidR="00E139A3" w:rsidRPr="00FD7F2F" w:rsidTr="00E139A3">
        <w:trPr>
          <w:trHeight w:hRule="exact" w:val="173"/>
        </w:trPr>
        <w:tc>
          <w:tcPr>
            <w:tcW w:w="0" w:type="auto"/>
          </w:tcPr>
          <w:p w:rsidR="00E139A3" w:rsidRPr="00E139A3" w:rsidRDefault="00E139A3" w:rsidP="00E139A3">
            <w:pPr>
              <w:spacing w:after="120"/>
              <w:rPr>
                <w:b/>
                <w:sz w:val="16"/>
                <w:szCs w:val="16"/>
              </w:rPr>
            </w:pPr>
            <w:r w:rsidRPr="00E139A3">
              <w:rPr>
                <w:b/>
                <w:sz w:val="16"/>
                <w:szCs w:val="16"/>
              </w:rPr>
              <w:t>Ranking</w:t>
            </w:r>
          </w:p>
        </w:tc>
        <w:tc>
          <w:tcPr>
            <w:tcW w:w="0" w:type="auto"/>
          </w:tcPr>
          <w:p w:rsidR="00E139A3" w:rsidRPr="00E139A3" w:rsidRDefault="00E139A3" w:rsidP="00E139A3">
            <w:pPr>
              <w:spacing w:after="120"/>
              <w:rPr>
                <w:b/>
                <w:sz w:val="16"/>
                <w:szCs w:val="16"/>
              </w:rPr>
            </w:pPr>
            <w:r w:rsidRPr="00E139A3">
              <w:rPr>
                <w:b/>
                <w:sz w:val="16"/>
                <w:szCs w:val="16"/>
              </w:rPr>
              <w:t>Country</w:t>
            </w:r>
          </w:p>
        </w:tc>
        <w:tc>
          <w:tcPr>
            <w:tcW w:w="0" w:type="auto"/>
          </w:tcPr>
          <w:p w:rsidR="00E139A3" w:rsidRPr="00E139A3" w:rsidRDefault="00E139A3" w:rsidP="00E139A3">
            <w:pPr>
              <w:spacing w:after="120"/>
              <w:rPr>
                <w:b/>
                <w:sz w:val="16"/>
                <w:szCs w:val="16"/>
              </w:rPr>
            </w:pPr>
            <w:r w:rsidRPr="00E139A3">
              <w:rPr>
                <w:b/>
                <w:sz w:val="16"/>
                <w:szCs w:val="16"/>
              </w:rPr>
              <w:t>All Biofuels</w:t>
            </w:r>
          </w:p>
        </w:tc>
        <w:tc>
          <w:tcPr>
            <w:tcW w:w="0" w:type="auto"/>
          </w:tcPr>
          <w:p w:rsidR="00E139A3" w:rsidRPr="00E139A3" w:rsidRDefault="00E139A3" w:rsidP="00E139A3">
            <w:pPr>
              <w:spacing w:after="120"/>
              <w:rPr>
                <w:b/>
                <w:sz w:val="16"/>
                <w:szCs w:val="16"/>
              </w:rPr>
            </w:pPr>
            <w:r w:rsidRPr="00E139A3">
              <w:rPr>
                <w:b/>
                <w:sz w:val="16"/>
                <w:szCs w:val="16"/>
              </w:rPr>
              <w:t>Ethanol</w:t>
            </w:r>
          </w:p>
        </w:tc>
        <w:tc>
          <w:tcPr>
            <w:tcW w:w="0" w:type="auto"/>
          </w:tcPr>
          <w:p w:rsidR="00E139A3" w:rsidRPr="00E139A3" w:rsidRDefault="00E139A3" w:rsidP="00E139A3">
            <w:pPr>
              <w:spacing w:after="120"/>
              <w:rPr>
                <w:b/>
                <w:sz w:val="16"/>
                <w:szCs w:val="16"/>
              </w:rPr>
            </w:pPr>
            <w:r w:rsidRPr="00E139A3">
              <w:rPr>
                <w:b/>
                <w:sz w:val="16"/>
                <w:szCs w:val="16"/>
              </w:rPr>
              <w:t>Biodiesel</w:t>
            </w:r>
          </w:p>
        </w:tc>
        <w:tc>
          <w:tcPr>
            <w:tcW w:w="0" w:type="auto"/>
          </w:tcPr>
          <w:p w:rsidR="00E139A3" w:rsidRPr="00E139A3" w:rsidRDefault="00E139A3" w:rsidP="00E139A3">
            <w:pPr>
              <w:spacing w:after="120"/>
              <w:rPr>
                <w:b/>
                <w:sz w:val="16"/>
                <w:szCs w:val="16"/>
              </w:rPr>
            </w:pPr>
            <w:r w:rsidRPr="00E139A3">
              <w:rPr>
                <w:b/>
                <w:sz w:val="16"/>
                <w:szCs w:val="16"/>
              </w:rPr>
              <w:t>Infrastructure</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sidRPr="00FD7F2F">
              <w:rPr>
                <w:sz w:val="16"/>
                <w:szCs w:val="16"/>
              </w:rPr>
              <w:t>1 (1)</w:t>
            </w:r>
          </w:p>
        </w:tc>
        <w:tc>
          <w:tcPr>
            <w:tcW w:w="0" w:type="auto"/>
          </w:tcPr>
          <w:p w:rsidR="00E139A3" w:rsidRPr="00FD7F2F" w:rsidRDefault="00E139A3" w:rsidP="00E139A3">
            <w:pPr>
              <w:spacing w:after="120"/>
              <w:rPr>
                <w:sz w:val="16"/>
                <w:szCs w:val="16"/>
              </w:rPr>
            </w:pPr>
            <w:r>
              <w:rPr>
                <w:sz w:val="16"/>
                <w:szCs w:val="16"/>
              </w:rPr>
              <w:t>USA</w:t>
            </w:r>
          </w:p>
        </w:tc>
        <w:tc>
          <w:tcPr>
            <w:tcW w:w="0" w:type="auto"/>
          </w:tcPr>
          <w:p w:rsidR="00E139A3" w:rsidRPr="00FD7F2F" w:rsidRDefault="00E139A3" w:rsidP="00E139A3">
            <w:pPr>
              <w:spacing w:after="120"/>
              <w:rPr>
                <w:sz w:val="16"/>
                <w:szCs w:val="16"/>
              </w:rPr>
            </w:pPr>
            <w:r>
              <w:rPr>
                <w:sz w:val="16"/>
                <w:szCs w:val="16"/>
              </w:rPr>
              <w:t>75</w:t>
            </w:r>
          </w:p>
        </w:tc>
        <w:tc>
          <w:tcPr>
            <w:tcW w:w="0" w:type="auto"/>
          </w:tcPr>
          <w:p w:rsidR="00E139A3" w:rsidRPr="00FD7F2F" w:rsidRDefault="00E139A3" w:rsidP="00E139A3">
            <w:pPr>
              <w:spacing w:after="120"/>
              <w:rPr>
                <w:sz w:val="16"/>
                <w:szCs w:val="16"/>
              </w:rPr>
            </w:pPr>
            <w:r>
              <w:rPr>
                <w:sz w:val="16"/>
                <w:szCs w:val="16"/>
              </w:rPr>
              <w:t>80</w:t>
            </w:r>
          </w:p>
        </w:tc>
        <w:tc>
          <w:tcPr>
            <w:tcW w:w="0" w:type="auto"/>
          </w:tcPr>
          <w:p w:rsidR="00E139A3" w:rsidRPr="00FD7F2F" w:rsidRDefault="00E139A3" w:rsidP="00E139A3">
            <w:pPr>
              <w:spacing w:after="120"/>
              <w:rPr>
                <w:sz w:val="16"/>
                <w:szCs w:val="16"/>
              </w:rPr>
            </w:pPr>
            <w:r>
              <w:rPr>
                <w:sz w:val="16"/>
                <w:szCs w:val="16"/>
              </w:rPr>
              <w:t>69</w:t>
            </w:r>
          </w:p>
        </w:tc>
        <w:tc>
          <w:tcPr>
            <w:tcW w:w="0" w:type="auto"/>
          </w:tcPr>
          <w:p w:rsidR="00E139A3" w:rsidRPr="00FD7F2F" w:rsidRDefault="00E139A3" w:rsidP="00E139A3">
            <w:pPr>
              <w:spacing w:after="120"/>
              <w:rPr>
                <w:sz w:val="16"/>
                <w:szCs w:val="16"/>
              </w:rPr>
            </w:pPr>
            <w:r>
              <w:rPr>
                <w:sz w:val="16"/>
                <w:szCs w:val="16"/>
              </w:rPr>
              <w:t>86</w:t>
            </w:r>
          </w:p>
        </w:tc>
      </w:tr>
      <w:tr w:rsidR="00E139A3" w:rsidRPr="00FD7F2F" w:rsidTr="00E139A3">
        <w:trPr>
          <w:trHeight w:hRule="exact" w:val="173"/>
        </w:trPr>
        <w:tc>
          <w:tcPr>
            <w:tcW w:w="0" w:type="auto"/>
          </w:tcPr>
          <w:p w:rsidR="00E139A3" w:rsidRDefault="00E139A3" w:rsidP="00E139A3">
            <w:pPr>
              <w:spacing w:after="120"/>
              <w:rPr>
                <w:sz w:val="16"/>
                <w:szCs w:val="16"/>
              </w:rPr>
            </w:pPr>
            <w:r>
              <w:rPr>
                <w:sz w:val="16"/>
                <w:szCs w:val="16"/>
              </w:rPr>
              <w:t>2 (2)</w:t>
            </w:r>
          </w:p>
          <w:p w:rsidR="00E139A3" w:rsidRPr="00FD7F2F" w:rsidRDefault="00E139A3" w:rsidP="00E139A3">
            <w:pPr>
              <w:spacing w:after="120"/>
              <w:rPr>
                <w:sz w:val="16"/>
                <w:szCs w:val="16"/>
              </w:rPr>
            </w:pPr>
          </w:p>
        </w:tc>
        <w:tc>
          <w:tcPr>
            <w:tcW w:w="0" w:type="auto"/>
          </w:tcPr>
          <w:p w:rsidR="00E139A3" w:rsidRPr="00FD7F2F" w:rsidRDefault="00E139A3" w:rsidP="00E139A3">
            <w:pPr>
              <w:spacing w:after="120"/>
              <w:rPr>
                <w:sz w:val="16"/>
                <w:szCs w:val="16"/>
              </w:rPr>
            </w:pPr>
            <w:r>
              <w:rPr>
                <w:sz w:val="16"/>
                <w:szCs w:val="16"/>
              </w:rPr>
              <w:t>Brazil</w:t>
            </w:r>
          </w:p>
        </w:tc>
        <w:tc>
          <w:tcPr>
            <w:tcW w:w="0" w:type="auto"/>
          </w:tcPr>
          <w:p w:rsidR="00E139A3" w:rsidRPr="00FD7F2F" w:rsidRDefault="00E139A3" w:rsidP="00E139A3">
            <w:pPr>
              <w:spacing w:after="120"/>
              <w:rPr>
                <w:sz w:val="16"/>
                <w:szCs w:val="16"/>
              </w:rPr>
            </w:pPr>
            <w:r>
              <w:rPr>
                <w:sz w:val="16"/>
                <w:szCs w:val="16"/>
              </w:rPr>
              <w:t>71</w:t>
            </w:r>
          </w:p>
        </w:tc>
        <w:tc>
          <w:tcPr>
            <w:tcW w:w="0" w:type="auto"/>
          </w:tcPr>
          <w:p w:rsidR="00E139A3" w:rsidRPr="00FD7F2F" w:rsidRDefault="00E139A3" w:rsidP="00E139A3">
            <w:pPr>
              <w:spacing w:after="120"/>
              <w:rPr>
                <w:sz w:val="16"/>
                <w:szCs w:val="16"/>
              </w:rPr>
            </w:pPr>
            <w:r>
              <w:rPr>
                <w:sz w:val="16"/>
                <w:szCs w:val="16"/>
              </w:rPr>
              <w:t>75</w:t>
            </w:r>
          </w:p>
        </w:tc>
        <w:tc>
          <w:tcPr>
            <w:tcW w:w="0" w:type="auto"/>
          </w:tcPr>
          <w:p w:rsidR="00E139A3" w:rsidRPr="00FD7F2F" w:rsidRDefault="00E139A3" w:rsidP="00E139A3">
            <w:pPr>
              <w:spacing w:after="120"/>
              <w:rPr>
                <w:sz w:val="16"/>
                <w:szCs w:val="16"/>
              </w:rPr>
            </w:pPr>
            <w:r>
              <w:rPr>
                <w:sz w:val="16"/>
                <w:szCs w:val="16"/>
              </w:rPr>
              <w:t>67</w:t>
            </w:r>
          </w:p>
        </w:tc>
        <w:tc>
          <w:tcPr>
            <w:tcW w:w="0" w:type="auto"/>
          </w:tcPr>
          <w:p w:rsidR="00E139A3" w:rsidRPr="00FD7F2F" w:rsidRDefault="00E139A3" w:rsidP="00E139A3">
            <w:pPr>
              <w:spacing w:after="120"/>
              <w:rPr>
                <w:sz w:val="16"/>
                <w:szCs w:val="16"/>
              </w:rPr>
            </w:pPr>
            <w:r>
              <w:rPr>
                <w:sz w:val="16"/>
                <w:szCs w:val="16"/>
              </w:rPr>
              <w:t>94</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3(4)</w:t>
            </w:r>
          </w:p>
        </w:tc>
        <w:tc>
          <w:tcPr>
            <w:tcW w:w="0" w:type="auto"/>
          </w:tcPr>
          <w:p w:rsidR="00E139A3" w:rsidRPr="00FD7F2F" w:rsidRDefault="00E139A3" w:rsidP="00E139A3">
            <w:pPr>
              <w:spacing w:after="120"/>
              <w:rPr>
                <w:sz w:val="16"/>
                <w:szCs w:val="16"/>
              </w:rPr>
            </w:pPr>
            <w:r>
              <w:rPr>
                <w:sz w:val="16"/>
                <w:szCs w:val="16"/>
              </w:rPr>
              <w:t>Germany</w:t>
            </w:r>
          </w:p>
        </w:tc>
        <w:tc>
          <w:tcPr>
            <w:tcW w:w="0" w:type="auto"/>
          </w:tcPr>
          <w:p w:rsidR="00E139A3" w:rsidRPr="00FD7F2F" w:rsidRDefault="00E139A3" w:rsidP="00E139A3">
            <w:pPr>
              <w:spacing w:after="120"/>
              <w:rPr>
                <w:sz w:val="16"/>
                <w:szCs w:val="16"/>
              </w:rPr>
            </w:pPr>
            <w:r>
              <w:rPr>
                <w:sz w:val="16"/>
                <w:szCs w:val="16"/>
              </w:rPr>
              <w:t>60</w:t>
            </w:r>
          </w:p>
        </w:tc>
        <w:tc>
          <w:tcPr>
            <w:tcW w:w="0" w:type="auto"/>
          </w:tcPr>
          <w:p w:rsidR="00E139A3" w:rsidRPr="00FD7F2F" w:rsidRDefault="00E139A3" w:rsidP="00E139A3">
            <w:pPr>
              <w:spacing w:after="120"/>
              <w:rPr>
                <w:sz w:val="16"/>
                <w:szCs w:val="16"/>
              </w:rPr>
            </w:pPr>
            <w:r>
              <w:rPr>
                <w:sz w:val="16"/>
                <w:szCs w:val="16"/>
              </w:rPr>
              <w:t>65</w:t>
            </w:r>
          </w:p>
        </w:tc>
        <w:tc>
          <w:tcPr>
            <w:tcW w:w="0" w:type="auto"/>
          </w:tcPr>
          <w:p w:rsidR="00E139A3" w:rsidRPr="00FD7F2F" w:rsidRDefault="00E139A3" w:rsidP="00E139A3">
            <w:pPr>
              <w:spacing w:after="120"/>
              <w:rPr>
                <w:sz w:val="16"/>
                <w:szCs w:val="16"/>
              </w:rPr>
            </w:pPr>
            <w:r>
              <w:rPr>
                <w:sz w:val="16"/>
                <w:szCs w:val="16"/>
              </w:rPr>
              <w:t>60</w:t>
            </w:r>
          </w:p>
        </w:tc>
        <w:tc>
          <w:tcPr>
            <w:tcW w:w="0" w:type="auto"/>
          </w:tcPr>
          <w:p w:rsidR="00E139A3" w:rsidRPr="00FD7F2F" w:rsidRDefault="00E139A3" w:rsidP="00E139A3">
            <w:pPr>
              <w:spacing w:after="120"/>
              <w:rPr>
                <w:sz w:val="16"/>
                <w:szCs w:val="16"/>
              </w:rPr>
            </w:pPr>
            <w:r>
              <w:rPr>
                <w:sz w:val="16"/>
                <w:szCs w:val="16"/>
              </w:rPr>
              <w:t>81</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4 (3)</w:t>
            </w:r>
          </w:p>
        </w:tc>
        <w:tc>
          <w:tcPr>
            <w:tcW w:w="0" w:type="auto"/>
          </w:tcPr>
          <w:p w:rsidR="00E139A3" w:rsidRPr="00FD7F2F" w:rsidRDefault="00E139A3" w:rsidP="00E139A3">
            <w:pPr>
              <w:spacing w:after="120"/>
              <w:rPr>
                <w:sz w:val="16"/>
                <w:szCs w:val="16"/>
              </w:rPr>
            </w:pPr>
            <w:r>
              <w:rPr>
                <w:sz w:val="16"/>
                <w:szCs w:val="16"/>
              </w:rPr>
              <w:t>France</w:t>
            </w:r>
          </w:p>
        </w:tc>
        <w:tc>
          <w:tcPr>
            <w:tcW w:w="0" w:type="auto"/>
          </w:tcPr>
          <w:p w:rsidR="00E139A3" w:rsidRPr="00FD7F2F" w:rsidRDefault="00E139A3" w:rsidP="00E139A3">
            <w:pPr>
              <w:spacing w:after="120"/>
              <w:rPr>
                <w:sz w:val="16"/>
                <w:szCs w:val="16"/>
              </w:rPr>
            </w:pPr>
            <w:r>
              <w:rPr>
                <w:sz w:val="16"/>
                <w:szCs w:val="16"/>
              </w:rPr>
              <w:t>59</w:t>
            </w:r>
          </w:p>
        </w:tc>
        <w:tc>
          <w:tcPr>
            <w:tcW w:w="0" w:type="auto"/>
          </w:tcPr>
          <w:p w:rsidR="00E139A3" w:rsidRPr="00FD7F2F" w:rsidRDefault="00E139A3" w:rsidP="00E139A3">
            <w:pPr>
              <w:spacing w:after="120"/>
              <w:rPr>
                <w:sz w:val="16"/>
                <w:szCs w:val="16"/>
              </w:rPr>
            </w:pPr>
            <w:r>
              <w:rPr>
                <w:sz w:val="16"/>
                <w:szCs w:val="16"/>
              </w:rPr>
              <w:t>64</w:t>
            </w:r>
          </w:p>
        </w:tc>
        <w:tc>
          <w:tcPr>
            <w:tcW w:w="0" w:type="auto"/>
          </w:tcPr>
          <w:p w:rsidR="00E139A3" w:rsidRPr="00FD7F2F" w:rsidRDefault="00E139A3" w:rsidP="00E139A3">
            <w:pPr>
              <w:spacing w:after="120"/>
              <w:rPr>
                <w:sz w:val="16"/>
                <w:szCs w:val="16"/>
              </w:rPr>
            </w:pPr>
            <w:r>
              <w:rPr>
                <w:sz w:val="16"/>
                <w:szCs w:val="16"/>
              </w:rPr>
              <w:t>56</w:t>
            </w:r>
          </w:p>
        </w:tc>
        <w:tc>
          <w:tcPr>
            <w:tcW w:w="0" w:type="auto"/>
          </w:tcPr>
          <w:p w:rsidR="00E139A3" w:rsidRPr="00FD7F2F" w:rsidRDefault="00E139A3" w:rsidP="00E139A3">
            <w:pPr>
              <w:spacing w:after="120"/>
              <w:rPr>
                <w:sz w:val="16"/>
                <w:szCs w:val="16"/>
              </w:rPr>
            </w:pPr>
            <w:r>
              <w:rPr>
                <w:sz w:val="16"/>
                <w:szCs w:val="16"/>
              </w:rPr>
              <w:t>67</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5 (5)</w:t>
            </w:r>
          </w:p>
        </w:tc>
        <w:tc>
          <w:tcPr>
            <w:tcW w:w="0" w:type="auto"/>
          </w:tcPr>
          <w:p w:rsidR="00E139A3" w:rsidRPr="00FD7F2F" w:rsidRDefault="00E139A3" w:rsidP="00E139A3">
            <w:pPr>
              <w:spacing w:after="120"/>
              <w:rPr>
                <w:sz w:val="16"/>
                <w:szCs w:val="16"/>
              </w:rPr>
            </w:pPr>
            <w:r>
              <w:rPr>
                <w:sz w:val="16"/>
                <w:szCs w:val="16"/>
              </w:rPr>
              <w:t>Spain</w:t>
            </w:r>
          </w:p>
        </w:tc>
        <w:tc>
          <w:tcPr>
            <w:tcW w:w="0" w:type="auto"/>
          </w:tcPr>
          <w:p w:rsidR="00E139A3" w:rsidRPr="00FD7F2F" w:rsidRDefault="00E139A3" w:rsidP="00E139A3">
            <w:pPr>
              <w:spacing w:after="120"/>
              <w:rPr>
                <w:sz w:val="16"/>
                <w:szCs w:val="16"/>
              </w:rPr>
            </w:pPr>
            <w:r>
              <w:rPr>
                <w:sz w:val="16"/>
                <w:szCs w:val="16"/>
              </w:rPr>
              <w:t>57</w:t>
            </w:r>
          </w:p>
        </w:tc>
        <w:tc>
          <w:tcPr>
            <w:tcW w:w="0" w:type="auto"/>
          </w:tcPr>
          <w:p w:rsidR="00E139A3" w:rsidRPr="00FD7F2F" w:rsidRDefault="00E139A3" w:rsidP="00E139A3">
            <w:pPr>
              <w:spacing w:after="120"/>
              <w:rPr>
                <w:sz w:val="16"/>
                <w:szCs w:val="16"/>
              </w:rPr>
            </w:pPr>
            <w:r>
              <w:rPr>
                <w:sz w:val="16"/>
                <w:szCs w:val="16"/>
              </w:rPr>
              <w:t>60</w:t>
            </w:r>
          </w:p>
        </w:tc>
        <w:tc>
          <w:tcPr>
            <w:tcW w:w="0" w:type="auto"/>
          </w:tcPr>
          <w:p w:rsidR="00E139A3" w:rsidRPr="00FD7F2F" w:rsidRDefault="00E139A3" w:rsidP="00E139A3">
            <w:pPr>
              <w:spacing w:after="120"/>
              <w:rPr>
                <w:sz w:val="16"/>
                <w:szCs w:val="16"/>
              </w:rPr>
            </w:pPr>
            <w:r>
              <w:rPr>
                <w:sz w:val="16"/>
                <w:szCs w:val="16"/>
              </w:rPr>
              <w:t>55</w:t>
            </w:r>
          </w:p>
        </w:tc>
        <w:tc>
          <w:tcPr>
            <w:tcW w:w="0" w:type="auto"/>
          </w:tcPr>
          <w:p w:rsidR="00E139A3" w:rsidRPr="00FD7F2F" w:rsidRDefault="00E139A3" w:rsidP="00E139A3">
            <w:pPr>
              <w:spacing w:after="120"/>
              <w:rPr>
                <w:sz w:val="16"/>
                <w:szCs w:val="16"/>
              </w:rPr>
            </w:pPr>
            <w:r>
              <w:rPr>
                <w:sz w:val="16"/>
                <w:szCs w:val="16"/>
              </w:rPr>
              <w:t>60</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5 (6)</w:t>
            </w:r>
          </w:p>
        </w:tc>
        <w:tc>
          <w:tcPr>
            <w:tcW w:w="0" w:type="auto"/>
          </w:tcPr>
          <w:p w:rsidR="00E139A3" w:rsidRPr="00FD7F2F" w:rsidRDefault="00E139A3" w:rsidP="00E139A3">
            <w:pPr>
              <w:spacing w:after="120"/>
              <w:rPr>
                <w:sz w:val="16"/>
                <w:szCs w:val="16"/>
              </w:rPr>
            </w:pPr>
            <w:r>
              <w:rPr>
                <w:sz w:val="16"/>
                <w:szCs w:val="16"/>
              </w:rPr>
              <w:t>Canada</w:t>
            </w:r>
          </w:p>
        </w:tc>
        <w:tc>
          <w:tcPr>
            <w:tcW w:w="0" w:type="auto"/>
          </w:tcPr>
          <w:p w:rsidR="00E139A3" w:rsidRPr="00FD7F2F" w:rsidRDefault="00E139A3" w:rsidP="00E139A3">
            <w:pPr>
              <w:spacing w:after="120"/>
              <w:rPr>
                <w:sz w:val="16"/>
                <w:szCs w:val="16"/>
              </w:rPr>
            </w:pPr>
            <w:r>
              <w:rPr>
                <w:sz w:val="16"/>
                <w:szCs w:val="16"/>
              </w:rPr>
              <w:t>57</w:t>
            </w:r>
          </w:p>
        </w:tc>
        <w:tc>
          <w:tcPr>
            <w:tcW w:w="0" w:type="auto"/>
          </w:tcPr>
          <w:p w:rsidR="00E139A3" w:rsidRPr="00FD7F2F" w:rsidRDefault="00E139A3" w:rsidP="00E139A3">
            <w:pPr>
              <w:spacing w:after="120"/>
              <w:rPr>
                <w:sz w:val="16"/>
                <w:szCs w:val="16"/>
              </w:rPr>
            </w:pPr>
            <w:r>
              <w:rPr>
                <w:sz w:val="16"/>
                <w:szCs w:val="16"/>
              </w:rPr>
              <w:t>59</w:t>
            </w:r>
          </w:p>
        </w:tc>
        <w:tc>
          <w:tcPr>
            <w:tcW w:w="0" w:type="auto"/>
          </w:tcPr>
          <w:p w:rsidR="00E139A3" w:rsidRPr="00FD7F2F" w:rsidRDefault="00E139A3" w:rsidP="00E139A3">
            <w:pPr>
              <w:spacing w:after="120"/>
              <w:rPr>
                <w:sz w:val="16"/>
                <w:szCs w:val="16"/>
              </w:rPr>
            </w:pPr>
            <w:r>
              <w:rPr>
                <w:sz w:val="16"/>
                <w:szCs w:val="16"/>
              </w:rPr>
              <w:t>53</w:t>
            </w:r>
          </w:p>
        </w:tc>
        <w:tc>
          <w:tcPr>
            <w:tcW w:w="0" w:type="auto"/>
          </w:tcPr>
          <w:p w:rsidR="00E139A3" w:rsidRPr="00FD7F2F" w:rsidRDefault="00E139A3" w:rsidP="00E139A3">
            <w:pPr>
              <w:spacing w:after="120"/>
              <w:rPr>
                <w:sz w:val="16"/>
                <w:szCs w:val="16"/>
              </w:rPr>
            </w:pPr>
            <w:r>
              <w:rPr>
                <w:sz w:val="16"/>
                <w:szCs w:val="16"/>
              </w:rPr>
              <w:t>72</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7 (9)</w:t>
            </w:r>
          </w:p>
        </w:tc>
        <w:tc>
          <w:tcPr>
            <w:tcW w:w="0" w:type="auto"/>
          </w:tcPr>
          <w:p w:rsidR="00E139A3" w:rsidRPr="00FD7F2F" w:rsidRDefault="00E139A3" w:rsidP="00E139A3">
            <w:pPr>
              <w:spacing w:after="120"/>
              <w:rPr>
                <w:sz w:val="16"/>
                <w:szCs w:val="16"/>
              </w:rPr>
            </w:pPr>
            <w:r>
              <w:rPr>
                <w:sz w:val="16"/>
                <w:szCs w:val="16"/>
              </w:rPr>
              <w:t>Thailand</w:t>
            </w:r>
          </w:p>
        </w:tc>
        <w:tc>
          <w:tcPr>
            <w:tcW w:w="0" w:type="auto"/>
          </w:tcPr>
          <w:p w:rsidR="00E139A3" w:rsidRPr="00FD7F2F" w:rsidRDefault="00E139A3" w:rsidP="00E139A3">
            <w:pPr>
              <w:spacing w:after="120"/>
              <w:rPr>
                <w:sz w:val="16"/>
                <w:szCs w:val="16"/>
              </w:rPr>
            </w:pPr>
            <w:r>
              <w:rPr>
                <w:sz w:val="16"/>
                <w:szCs w:val="16"/>
              </w:rPr>
              <w:t>53</w:t>
            </w:r>
          </w:p>
        </w:tc>
        <w:tc>
          <w:tcPr>
            <w:tcW w:w="0" w:type="auto"/>
          </w:tcPr>
          <w:p w:rsidR="00E139A3" w:rsidRPr="00FD7F2F" w:rsidRDefault="00E139A3" w:rsidP="00E139A3">
            <w:pPr>
              <w:spacing w:after="120"/>
              <w:rPr>
                <w:sz w:val="16"/>
                <w:szCs w:val="16"/>
              </w:rPr>
            </w:pPr>
            <w:r>
              <w:rPr>
                <w:sz w:val="16"/>
                <w:szCs w:val="16"/>
              </w:rPr>
              <w:t>56</w:t>
            </w:r>
          </w:p>
        </w:tc>
        <w:tc>
          <w:tcPr>
            <w:tcW w:w="0" w:type="auto"/>
          </w:tcPr>
          <w:p w:rsidR="00E139A3" w:rsidRPr="00FD7F2F" w:rsidRDefault="00E139A3" w:rsidP="00E139A3">
            <w:pPr>
              <w:spacing w:after="120"/>
              <w:rPr>
                <w:sz w:val="16"/>
                <w:szCs w:val="16"/>
              </w:rPr>
            </w:pPr>
            <w:r>
              <w:rPr>
                <w:sz w:val="16"/>
                <w:szCs w:val="16"/>
              </w:rPr>
              <w:t>50</w:t>
            </w:r>
          </w:p>
        </w:tc>
        <w:tc>
          <w:tcPr>
            <w:tcW w:w="0" w:type="auto"/>
          </w:tcPr>
          <w:p w:rsidR="00E139A3" w:rsidRPr="00FD7F2F" w:rsidRDefault="00E139A3" w:rsidP="00E139A3">
            <w:pPr>
              <w:spacing w:after="120"/>
              <w:rPr>
                <w:sz w:val="16"/>
                <w:szCs w:val="16"/>
              </w:rPr>
            </w:pPr>
            <w:r>
              <w:rPr>
                <w:sz w:val="16"/>
                <w:szCs w:val="16"/>
              </w:rPr>
              <w:t>47</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7 (11)</w:t>
            </w:r>
          </w:p>
        </w:tc>
        <w:tc>
          <w:tcPr>
            <w:tcW w:w="0" w:type="auto"/>
          </w:tcPr>
          <w:p w:rsidR="00E139A3" w:rsidRPr="00FD7F2F" w:rsidRDefault="00E139A3" w:rsidP="00E139A3">
            <w:pPr>
              <w:spacing w:after="120"/>
              <w:rPr>
                <w:sz w:val="16"/>
                <w:szCs w:val="16"/>
              </w:rPr>
            </w:pPr>
            <w:r>
              <w:rPr>
                <w:sz w:val="16"/>
                <w:szCs w:val="16"/>
              </w:rPr>
              <w:t>China</w:t>
            </w:r>
          </w:p>
        </w:tc>
        <w:tc>
          <w:tcPr>
            <w:tcW w:w="0" w:type="auto"/>
          </w:tcPr>
          <w:p w:rsidR="00E139A3" w:rsidRPr="00FD7F2F" w:rsidRDefault="00E139A3" w:rsidP="00E139A3">
            <w:pPr>
              <w:spacing w:after="120"/>
              <w:rPr>
                <w:sz w:val="16"/>
                <w:szCs w:val="16"/>
              </w:rPr>
            </w:pPr>
            <w:r>
              <w:rPr>
                <w:sz w:val="16"/>
                <w:szCs w:val="16"/>
              </w:rPr>
              <w:t>53</w:t>
            </w:r>
          </w:p>
        </w:tc>
        <w:tc>
          <w:tcPr>
            <w:tcW w:w="0" w:type="auto"/>
          </w:tcPr>
          <w:p w:rsidR="00E139A3" w:rsidRPr="00FD7F2F" w:rsidRDefault="00E139A3" w:rsidP="00E139A3">
            <w:pPr>
              <w:spacing w:after="120"/>
              <w:rPr>
                <w:sz w:val="16"/>
                <w:szCs w:val="16"/>
              </w:rPr>
            </w:pPr>
            <w:r>
              <w:rPr>
                <w:sz w:val="16"/>
                <w:szCs w:val="16"/>
              </w:rPr>
              <w:t>56</w:t>
            </w:r>
          </w:p>
        </w:tc>
        <w:tc>
          <w:tcPr>
            <w:tcW w:w="0" w:type="auto"/>
          </w:tcPr>
          <w:p w:rsidR="00E139A3" w:rsidRPr="00FD7F2F" w:rsidRDefault="00E139A3" w:rsidP="00E139A3">
            <w:pPr>
              <w:spacing w:after="120"/>
              <w:rPr>
                <w:sz w:val="16"/>
                <w:szCs w:val="16"/>
              </w:rPr>
            </w:pPr>
            <w:r>
              <w:rPr>
                <w:sz w:val="16"/>
                <w:szCs w:val="16"/>
              </w:rPr>
              <w:t>50</w:t>
            </w:r>
          </w:p>
        </w:tc>
        <w:tc>
          <w:tcPr>
            <w:tcW w:w="0" w:type="auto"/>
          </w:tcPr>
          <w:p w:rsidR="00E139A3" w:rsidRPr="00FD7F2F" w:rsidRDefault="00E139A3" w:rsidP="00E139A3">
            <w:pPr>
              <w:spacing w:after="120"/>
              <w:rPr>
                <w:sz w:val="16"/>
                <w:szCs w:val="16"/>
              </w:rPr>
            </w:pPr>
            <w:r>
              <w:rPr>
                <w:sz w:val="16"/>
                <w:szCs w:val="16"/>
              </w:rPr>
              <w:t>47</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9 (7)</w:t>
            </w:r>
          </w:p>
        </w:tc>
        <w:tc>
          <w:tcPr>
            <w:tcW w:w="0" w:type="auto"/>
          </w:tcPr>
          <w:p w:rsidR="00E139A3" w:rsidRPr="00FD7F2F" w:rsidRDefault="00E139A3" w:rsidP="00E139A3">
            <w:pPr>
              <w:spacing w:after="120"/>
              <w:rPr>
                <w:sz w:val="16"/>
                <w:szCs w:val="16"/>
              </w:rPr>
            </w:pPr>
            <w:r>
              <w:rPr>
                <w:sz w:val="16"/>
                <w:szCs w:val="16"/>
              </w:rPr>
              <w:t>UK</w:t>
            </w:r>
          </w:p>
        </w:tc>
        <w:tc>
          <w:tcPr>
            <w:tcW w:w="0" w:type="auto"/>
          </w:tcPr>
          <w:p w:rsidR="00E139A3" w:rsidRPr="00FD7F2F" w:rsidRDefault="00E139A3" w:rsidP="00E139A3">
            <w:pPr>
              <w:spacing w:after="120"/>
              <w:rPr>
                <w:sz w:val="16"/>
                <w:szCs w:val="16"/>
              </w:rPr>
            </w:pPr>
            <w:r>
              <w:rPr>
                <w:sz w:val="16"/>
                <w:szCs w:val="16"/>
              </w:rPr>
              <w:t>52</w:t>
            </w:r>
          </w:p>
        </w:tc>
        <w:tc>
          <w:tcPr>
            <w:tcW w:w="0" w:type="auto"/>
          </w:tcPr>
          <w:p w:rsidR="00E139A3" w:rsidRPr="00FD7F2F" w:rsidRDefault="00E139A3" w:rsidP="00E139A3">
            <w:pPr>
              <w:spacing w:after="120"/>
              <w:rPr>
                <w:sz w:val="16"/>
                <w:szCs w:val="16"/>
              </w:rPr>
            </w:pPr>
            <w:r>
              <w:rPr>
                <w:sz w:val="16"/>
                <w:szCs w:val="16"/>
              </w:rPr>
              <w:t>55</w:t>
            </w:r>
          </w:p>
        </w:tc>
        <w:tc>
          <w:tcPr>
            <w:tcW w:w="0" w:type="auto"/>
          </w:tcPr>
          <w:p w:rsidR="00E139A3" w:rsidRPr="00FD7F2F" w:rsidRDefault="00E139A3" w:rsidP="00E139A3">
            <w:pPr>
              <w:spacing w:after="120"/>
              <w:rPr>
                <w:sz w:val="16"/>
                <w:szCs w:val="16"/>
              </w:rPr>
            </w:pPr>
            <w:r>
              <w:rPr>
                <w:sz w:val="16"/>
                <w:szCs w:val="16"/>
              </w:rPr>
              <w:t>49</w:t>
            </w:r>
          </w:p>
        </w:tc>
        <w:tc>
          <w:tcPr>
            <w:tcW w:w="0" w:type="auto"/>
          </w:tcPr>
          <w:p w:rsidR="00E139A3" w:rsidRPr="00FD7F2F" w:rsidRDefault="00E139A3" w:rsidP="00E139A3">
            <w:pPr>
              <w:spacing w:after="120"/>
              <w:rPr>
                <w:sz w:val="16"/>
                <w:szCs w:val="16"/>
              </w:rPr>
            </w:pPr>
            <w:r>
              <w:rPr>
                <w:sz w:val="16"/>
                <w:szCs w:val="16"/>
              </w:rPr>
              <w:t>56</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10 (8)</w:t>
            </w:r>
          </w:p>
        </w:tc>
        <w:tc>
          <w:tcPr>
            <w:tcW w:w="0" w:type="auto"/>
          </w:tcPr>
          <w:p w:rsidR="00E139A3" w:rsidRPr="00FD7F2F" w:rsidRDefault="00E139A3" w:rsidP="00E139A3">
            <w:pPr>
              <w:spacing w:after="120"/>
              <w:rPr>
                <w:sz w:val="16"/>
                <w:szCs w:val="16"/>
              </w:rPr>
            </w:pPr>
            <w:r>
              <w:rPr>
                <w:sz w:val="16"/>
                <w:szCs w:val="16"/>
              </w:rPr>
              <w:t>Sweden</w:t>
            </w:r>
          </w:p>
        </w:tc>
        <w:tc>
          <w:tcPr>
            <w:tcW w:w="0" w:type="auto"/>
          </w:tcPr>
          <w:p w:rsidR="00E139A3" w:rsidRPr="00FD7F2F" w:rsidRDefault="00E139A3" w:rsidP="00E139A3">
            <w:pPr>
              <w:spacing w:after="120"/>
              <w:rPr>
                <w:sz w:val="16"/>
                <w:szCs w:val="16"/>
              </w:rPr>
            </w:pPr>
            <w:r>
              <w:rPr>
                <w:sz w:val="16"/>
                <w:szCs w:val="16"/>
              </w:rPr>
              <w:t>51</w:t>
            </w:r>
          </w:p>
        </w:tc>
        <w:tc>
          <w:tcPr>
            <w:tcW w:w="0" w:type="auto"/>
          </w:tcPr>
          <w:p w:rsidR="00E139A3" w:rsidRPr="00FD7F2F" w:rsidRDefault="00E139A3" w:rsidP="00E139A3">
            <w:pPr>
              <w:spacing w:after="120"/>
              <w:rPr>
                <w:sz w:val="16"/>
                <w:szCs w:val="16"/>
              </w:rPr>
            </w:pPr>
            <w:r>
              <w:rPr>
                <w:sz w:val="16"/>
                <w:szCs w:val="16"/>
              </w:rPr>
              <w:t>54</w:t>
            </w:r>
          </w:p>
        </w:tc>
        <w:tc>
          <w:tcPr>
            <w:tcW w:w="0" w:type="auto"/>
          </w:tcPr>
          <w:p w:rsidR="00E139A3" w:rsidRPr="00FD7F2F" w:rsidRDefault="00E139A3" w:rsidP="00E139A3">
            <w:pPr>
              <w:spacing w:after="120"/>
              <w:rPr>
                <w:sz w:val="16"/>
                <w:szCs w:val="16"/>
              </w:rPr>
            </w:pPr>
            <w:r>
              <w:rPr>
                <w:sz w:val="16"/>
                <w:szCs w:val="16"/>
              </w:rPr>
              <w:t>48</w:t>
            </w:r>
          </w:p>
        </w:tc>
        <w:tc>
          <w:tcPr>
            <w:tcW w:w="0" w:type="auto"/>
          </w:tcPr>
          <w:p w:rsidR="00E139A3" w:rsidRPr="00FD7F2F" w:rsidRDefault="00E139A3" w:rsidP="00E139A3">
            <w:pPr>
              <w:spacing w:after="120"/>
              <w:rPr>
                <w:sz w:val="16"/>
                <w:szCs w:val="16"/>
              </w:rPr>
            </w:pPr>
            <w:r>
              <w:rPr>
                <w:sz w:val="16"/>
                <w:szCs w:val="16"/>
              </w:rPr>
              <w:t>66</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10 (11)</w:t>
            </w:r>
          </w:p>
        </w:tc>
        <w:tc>
          <w:tcPr>
            <w:tcW w:w="0" w:type="auto"/>
          </w:tcPr>
          <w:p w:rsidR="00E139A3" w:rsidRPr="00FD7F2F" w:rsidRDefault="00E139A3" w:rsidP="00E139A3">
            <w:pPr>
              <w:spacing w:after="120"/>
              <w:rPr>
                <w:sz w:val="16"/>
                <w:szCs w:val="16"/>
              </w:rPr>
            </w:pPr>
            <w:r>
              <w:rPr>
                <w:sz w:val="16"/>
                <w:szCs w:val="16"/>
              </w:rPr>
              <w:t>Colombia</w:t>
            </w:r>
          </w:p>
        </w:tc>
        <w:tc>
          <w:tcPr>
            <w:tcW w:w="0" w:type="auto"/>
          </w:tcPr>
          <w:p w:rsidR="00E139A3" w:rsidRPr="00FD7F2F" w:rsidRDefault="00E139A3" w:rsidP="00E139A3">
            <w:pPr>
              <w:spacing w:after="120"/>
              <w:rPr>
                <w:sz w:val="16"/>
                <w:szCs w:val="16"/>
              </w:rPr>
            </w:pPr>
            <w:r>
              <w:rPr>
                <w:sz w:val="16"/>
                <w:szCs w:val="16"/>
              </w:rPr>
              <w:t>51</w:t>
            </w:r>
          </w:p>
        </w:tc>
        <w:tc>
          <w:tcPr>
            <w:tcW w:w="0" w:type="auto"/>
          </w:tcPr>
          <w:p w:rsidR="00E139A3" w:rsidRPr="00FD7F2F" w:rsidRDefault="00E139A3" w:rsidP="00E139A3">
            <w:pPr>
              <w:spacing w:after="120"/>
              <w:rPr>
                <w:sz w:val="16"/>
                <w:szCs w:val="16"/>
              </w:rPr>
            </w:pPr>
            <w:r>
              <w:rPr>
                <w:sz w:val="16"/>
                <w:szCs w:val="16"/>
              </w:rPr>
              <w:t>54</w:t>
            </w:r>
          </w:p>
        </w:tc>
        <w:tc>
          <w:tcPr>
            <w:tcW w:w="0" w:type="auto"/>
          </w:tcPr>
          <w:p w:rsidR="00E139A3" w:rsidRPr="00FD7F2F" w:rsidRDefault="00E139A3" w:rsidP="00E139A3">
            <w:pPr>
              <w:spacing w:after="120"/>
              <w:rPr>
                <w:sz w:val="16"/>
                <w:szCs w:val="16"/>
              </w:rPr>
            </w:pPr>
            <w:r>
              <w:rPr>
                <w:sz w:val="16"/>
                <w:szCs w:val="16"/>
              </w:rPr>
              <w:t>48</w:t>
            </w:r>
          </w:p>
        </w:tc>
        <w:tc>
          <w:tcPr>
            <w:tcW w:w="0" w:type="auto"/>
          </w:tcPr>
          <w:p w:rsidR="00E139A3" w:rsidRPr="00FD7F2F" w:rsidRDefault="00E139A3" w:rsidP="00E139A3">
            <w:pPr>
              <w:spacing w:after="120"/>
              <w:rPr>
                <w:sz w:val="16"/>
                <w:szCs w:val="16"/>
              </w:rPr>
            </w:pPr>
            <w:r>
              <w:rPr>
                <w:sz w:val="16"/>
                <w:szCs w:val="16"/>
              </w:rPr>
              <w:t>50</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10 (11)</w:t>
            </w:r>
          </w:p>
        </w:tc>
        <w:tc>
          <w:tcPr>
            <w:tcW w:w="0" w:type="auto"/>
          </w:tcPr>
          <w:p w:rsidR="00E139A3" w:rsidRPr="00FD7F2F" w:rsidRDefault="00E139A3" w:rsidP="00E139A3">
            <w:pPr>
              <w:spacing w:after="120"/>
              <w:rPr>
                <w:sz w:val="16"/>
                <w:szCs w:val="16"/>
              </w:rPr>
            </w:pPr>
            <w:r>
              <w:rPr>
                <w:sz w:val="16"/>
                <w:szCs w:val="16"/>
              </w:rPr>
              <w:t>India</w:t>
            </w:r>
          </w:p>
        </w:tc>
        <w:tc>
          <w:tcPr>
            <w:tcW w:w="0" w:type="auto"/>
          </w:tcPr>
          <w:p w:rsidR="00E139A3" w:rsidRPr="00FD7F2F" w:rsidRDefault="00E139A3" w:rsidP="00E139A3">
            <w:pPr>
              <w:spacing w:after="120"/>
              <w:rPr>
                <w:sz w:val="16"/>
                <w:szCs w:val="16"/>
              </w:rPr>
            </w:pPr>
            <w:r>
              <w:rPr>
                <w:sz w:val="16"/>
                <w:szCs w:val="16"/>
              </w:rPr>
              <w:t>51</w:t>
            </w:r>
          </w:p>
        </w:tc>
        <w:tc>
          <w:tcPr>
            <w:tcW w:w="0" w:type="auto"/>
          </w:tcPr>
          <w:p w:rsidR="00E139A3" w:rsidRPr="00FD7F2F" w:rsidRDefault="00E139A3" w:rsidP="00E139A3">
            <w:pPr>
              <w:spacing w:after="120"/>
              <w:rPr>
                <w:sz w:val="16"/>
                <w:szCs w:val="16"/>
              </w:rPr>
            </w:pPr>
            <w:r>
              <w:rPr>
                <w:sz w:val="16"/>
                <w:szCs w:val="16"/>
              </w:rPr>
              <w:t>53</w:t>
            </w:r>
          </w:p>
        </w:tc>
        <w:tc>
          <w:tcPr>
            <w:tcW w:w="0" w:type="auto"/>
          </w:tcPr>
          <w:p w:rsidR="00E139A3" w:rsidRPr="00FD7F2F" w:rsidRDefault="00E139A3" w:rsidP="00E139A3">
            <w:pPr>
              <w:spacing w:after="120"/>
              <w:rPr>
                <w:sz w:val="16"/>
                <w:szCs w:val="16"/>
              </w:rPr>
            </w:pPr>
            <w:r>
              <w:rPr>
                <w:sz w:val="16"/>
                <w:szCs w:val="16"/>
              </w:rPr>
              <w:t>48</w:t>
            </w:r>
          </w:p>
        </w:tc>
        <w:tc>
          <w:tcPr>
            <w:tcW w:w="0" w:type="auto"/>
          </w:tcPr>
          <w:p w:rsidR="00E139A3" w:rsidRPr="00FD7F2F" w:rsidRDefault="00E139A3" w:rsidP="00E139A3">
            <w:pPr>
              <w:spacing w:after="120"/>
              <w:rPr>
                <w:sz w:val="16"/>
                <w:szCs w:val="16"/>
              </w:rPr>
            </w:pPr>
            <w:r>
              <w:rPr>
                <w:sz w:val="16"/>
                <w:szCs w:val="16"/>
              </w:rPr>
              <w:t>50</w:t>
            </w:r>
          </w:p>
        </w:tc>
      </w:tr>
      <w:tr w:rsidR="00E139A3" w:rsidRPr="00FD7F2F" w:rsidTr="00E139A3">
        <w:trPr>
          <w:trHeight w:hRule="exact" w:val="173"/>
        </w:trPr>
        <w:tc>
          <w:tcPr>
            <w:tcW w:w="0" w:type="auto"/>
          </w:tcPr>
          <w:p w:rsidR="00E139A3" w:rsidRPr="00FD7F2F" w:rsidRDefault="00E139A3" w:rsidP="00E139A3">
            <w:pPr>
              <w:spacing w:after="120"/>
              <w:rPr>
                <w:sz w:val="16"/>
                <w:szCs w:val="16"/>
              </w:rPr>
            </w:pPr>
            <w:r>
              <w:rPr>
                <w:sz w:val="16"/>
                <w:szCs w:val="16"/>
              </w:rPr>
              <w:t>13 (14)</w:t>
            </w:r>
          </w:p>
        </w:tc>
        <w:tc>
          <w:tcPr>
            <w:tcW w:w="0" w:type="auto"/>
          </w:tcPr>
          <w:p w:rsidR="00E139A3" w:rsidRPr="00FD7F2F" w:rsidRDefault="00E139A3" w:rsidP="00E139A3">
            <w:pPr>
              <w:spacing w:after="120"/>
              <w:rPr>
                <w:sz w:val="16"/>
                <w:szCs w:val="16"/>
              </w:rPr>
            </w:pPr>
            <w:r>
              <w:rPr>
                <w:sz w:val="16"/>
                <w:szCs w:val="16"/>
              </w:rPr>
              <w:t>The Netherlands</w:t>
            </w:r>
          </w:p>
        </w:tc>
        <w:tc>
          <w:tcPr>
            <w:tcW w:w="0" w:type="auto"/>
          </w:tcPr>
          <w:p w:rsidR="00E139A3" w:rsidRPr="00FD7F2F" w:rsidRDefault="00E139A3" w:rsidP="00E139A3">
            <w:pPr>
              <w:spacing w:after="120"/>
              <w:rPr>
                <w:sz w:val="16"/>
                <w:szCs w:val="16"/>
              </w:rPr>
            </w:pPr>
            <w:r>
              <w:rPr>
                <w:sz w:val="16"/>
                <w:szCs w:val="16"/>
              </w:rPr>
              <w:t>48</w:t>
            </w:r>
          </w:p>
        </w:tc>
        <w:tc>
          <w:tcPr>
            <w:tcW w:w="0" w:type="auto"/>
          </w:tcPr>
          <w:p w:rsidR="00E139A3" w:rsidRPr="00FD7F2F" w:rsidRDefault="00E139A3" w:rsidP="00E139A3">
            <w:pPr>
              <w:spacing w:after="120"/>
              <w:rPr>
                <w:sz w:val="16"/>
                <w:szCs w:val="16"/>
              </w:rPr>
            </w:pPr>
            <w:r>
              <w:rPr>
                <w:sz w:val="16"/>
                <w:szCs w:val="16"/>
              </w:rPr>
              <w:t>50</w:t>
            </w:r>
          </w:p>
        </w:tc>
        <w:tc>
          <w:tcPr>
            <w:tcW w:w="0" w:type="auto"/>
          </w:tcPr>
          <w:p w:rsidR="00E139A3" w:rsidRPr="00FD7F2F" w:rsidRDefault="00E139A3" w:rsidP="00E139A3">
            <w:pPr>
              <w:spacing w:after="120"/>
              <w:rPr>
                <w:sz w:val="16"/>
                <w:szCs w:val="16"/>
              </w:rPr>
            </w:pPr>
            <w:r>
              <w:rPr>
                <w:sz w:val="16"/>
                <w:szCs w:val="16"/>
              </w:rPr>
              <w:t>48</w:t>
            </w:r>
          </w:p>
        </w:tc>
        <w:tc>
          <w:tcPr>
            <w:tcW w:w="0" w:type="auto"/>
          </w:tcPr>
          <w:p w:rsidR="00E139A3" w:rsidRPr="00FD7F2F" w:rsidRDefault="00E139A3" w:rsidP="00E139A3">
            <w:pPr>
              <w:spacing w:after="120"/>
              <w:rPr>
                <w:sz w:val="16"/>
                <w:szCs w:val="16"/>
              </w:rPr>
            </w:pPr>
            <w:r>
              <w:rPr>
                <w:sz w:val="16"/>
                <w:szCs w:val="16"/>
              </w:rPr>
              <w:t>48</w:t>
            </w:r>
          </w:p>
        </w:tc>
      </w:tr>
      <w:tr w:rsidR="00E139A3" w:rsidRPr="00FD7F2F" w:rsidTr="00E139A3">
        <w:trPr>
          <w:trHeight w:hRule="exact" w:val="173"/>
        </w:trPr>
        <w:tc>
          <w:tcPr>
            <w:tcW w:w="0" w:type="auto"/>
          </w:tcPr>
          <w:p w:rsidR="00E139A3" w:rsidRDefault="00E139A3" w:rsidP="00E139A3">
            <w:pPr>
              <w:spacing w:after="120"/>
              <w:rPr>
                <w:sz w:val="16"/>
                <w:szCs w:val="16"/>
              </w:rPr>
            </w:pPr>
            <w:r>
              <w:rPr>
                <w:sz w:val="16"/>
                <w:szCs w:val="16"/>
              </w:rPr>
              <w:t>13 (9)</w:t>
            </w:r>
          </w:p>
        </w:tc>
        <w:tc>
          <w:tcPr>
            <w:tcW w:w="0" w:type="auto"/>
          </w:tcPr>
          <w:p w:rsidR="00E139A3" w:rsidRDefault="00E139A3" w:rsidP="00E139A3">
            <w:pPr>
              <w:spacing w:after="120"/>
              <w:rPr>
                <w:sz w:val="16"/>
                <w:szCs w:val="16"/>
              </w:rPr>
            </w:pPr>
            <w:r>
              <w:rPr>
                <w:sz w:val="16"/>
                <w:szCs w:val="16"/>
              </w:rPr>
              <w:t>Italy</w:t>
            </w:r>
          </w:p>
        </w:tc>
        <w:tc>
          <w:tcPr>
            <w:tcW w:w="0" w:type="auto"/>
          </w:tcPr>
          <w:p w:rsidR="00E139A3" w:rsidRDefault="00E139A3" w:rsidP="00E139A3">
            <w:pPr>
              <w:spacing w:after="120"/>
              <w:rPr>
                <w:sz w:val="16"/>
                <w:szCs w:val="16"/>
              </w:rPr>
            </w:pPr>
            <w:r>
              <w:rPr>
                <w:sz w:val="16"/>
                <w:szCs w:val="16"/>
              </w:rPr>
              <w:t>48</w:t>
            </w:r>
          </w:p>
        </w:tc>
        <w:tc>
          <w:tcPr>
            <w:tcW w:w="0" w:type="auto"/>
          </w:tcPr>
          <w:p w:rsidR="00E139A3" w:rsidRDefault="00E139A3" w:rsidP="00E139A3">
            <w:pPr>
              <w:spacing w:after="120"/>
              <w:rPr>
                <w:sz w:val="16"/>
                <w:szCs w:val="16"/>
              </w:rPr>
            </w:pPr>
            <w:r>
              <w:rPr>
                <w:sz w:val="16"/>
                <w:szCs w:val="16"/>
              </w:rPr>
              <w:t>49</w:t>
            </w:r>
          </w:p>
        </w:tc>
        <w:tc>
          <w:tcPr>
            <w:tcW w:w="0" w:type="auto"/>
          </w:tcPr>
          <w:p w:rsidR="00E139A3" w:rsidRDefault="00E139A3" w:rsidP="00E139A3">
            <w:pPr>
              <w:spacing w:after="120"/>
              <w:rPr>
                <w:sz w:val="16"/>
                <w:szCs w:val="16"/>
              </w:rPr>
            </w:pPr>
            <w:r>
              <w:rPr>
                <w:sz w:val="16"/>
                <w:szCs w:val="16"/>
              </w:rPr>
              <w:t>47</w:t>
            </w:r>
          </w:p>
        </w:tc>
        <w:tc>
          <w:tcPr>
            <w:tcW w:w="0" w:type="auto"/>
          </w:tcPr>
          <w:p w:rsidR="00E139A3" w:rsidRDefault="00E139A3" w:rsidP="00E139A3">
            <w:pPr>
              <w:spacing w:after="120"/>
              <w:rPr>
                <w:sz w:val="16"/>
                <w:szCs w:val="16"/>
              </w:rPr>
            </w:pPr>
            <w:r>
              <w:rPr>
                <w:sz w:val="16"/>
                <w:szCs w:val="16"/>
              </w:rPr>
              <w:t>47</w:t>
            </w:r>
          </w:p>
        </w:tc>
      </w:tr>
      <w:tr w:rsidR="00E139A3" w:rsidRPr="00FD7F2F" w:rsidTr="00E139A3">
        <w:trPr>
          <w:trHeight w:hRule="exact" w:val="173"/>
        </w:trPr>
        <w:tc>
          <w:tcPr>
            <w:tcW w:w="0" w:type="auto"/>
          </w:tcPr>
          <w:p w:rsidR="00E139A3" w:rsidRDefault="00E139A3" w:rsidP="00E139A3">
            <w:pPr>
              <w:spacing w:after="120"/>
              <w:rPr>
                <w:sz w:val="16"/>
                <w:szCs w:val="16"/>
              </w:rPr>
            </w:pPr>
            <w:r>
              <w:rPr>
                <w:sz w:val="16"/>
                <w:szCs w:val="16"/>
              </w:rPr>
              <w:t>13 (-)</w:t>
            </w:r>
          </w:p>
        </w:tc>
        <w:tc>
          <w:tcPr>
            <w:tcW w:w="0" w:type="auto"/>
          </w:tcPr>
          <w:p w:rsidR="00E139A3" w:rsidRDefault="00E139A3" w:rsidP="00E139A3">
            <w:pPr>
              <w:spacing w:after="120"/>
              <w:rPr>
                <w:sz w:val="16"/>
                <w:szCs w:val="16"/>
              </w:rPr>
            </w:pPr>
            <w:r>
              <w:rPr>
                <w:sz w:val="16"/>
                <w:szCs w:val="16"/>
              </w:rPr>
              <w:t>Philippines</w:t>
            </w:r>
          </w:p>
        </w:tc>
        <w:tc>
          <w:tcPr>
            <w:tcW w:w="0" w:type="auto"/>
          </w:tcPr>
          <w:p w:rsidR="00E139A3" w:rsidRDefault="00E139A3" w:rsidP="00E139A3">
            <w:pPr>
              <w:spacing w:after="120"/>
              <w:rPr>
                <w:sz w:val="16"/>
                <w:szCs w:val="16"/>
              </w:rPr>
            </w:pPr>
            <w:r>
              <w:rPr>
                <w:sz w:val="16"/>
                <w:szCs w:val="16"/>
              </w:rPr>
              <w:t>48</w:t>
            </w:r>
          </w:p>
        </w:tc>
        <w:tc>
          <w:tcPr>
            <w:tcW w:w="0" w:type="auto"/>
          </w:tcPr>
          <w:p w:rsidR="00E139A3" w:rsidRDefault="00E139A3" w:rsidP="00E139A3">
            <w:pPr>
              <w:spacing w:after="120"/>
              <w:rPr>
                <w:sz w:val="16"/>
                <w:szCs w:val="16"/>
              </w:rPr>
            </w:pPr>
            <w:r>
              <w:rPr>
                <w:sz w:val="16"/>
                <w:szCs w:val="16"/>
              </w:rPr>
              <w:t>48</w:t>
            </w:r>
          </w:p>
        </w:tc>
        <w:tc>
          <w:tcPr>
            <w:tcW w:w="0" w:type="auto"/>
          </w:tcPr>
          <w:p w:rsidR="00E139A3" w:rsidRDefault="00E139A3" w:rsidP="00E139A3">
            <w:pPr>
              <w:spacing w:after="120"/>
              <w:rPr>
                <w:sz w:val="16"/>
                <w:szCs w:val="16"/>
              </w:rPr>
            </w:pPr>
            <w:r>
              <w:rPr>
                <w:sz w:val="16"/>
                <w:szCs w:val="16"/>
              </w:rPr>
              <w:t>47</w:t>
            </w:r>
          </w:p>
        </w:tc>
        <w:tc>
          <w:tcPr>
            <w:tcW w:w="0" w:type="auto"/>
          </w:tcPr>
          <w:p w:rsidR="00E139A3" w:rsidRDefault="00E139A3" w:rsidP="00E139A3">
            <w:pPr>
              <w:spacing w:after="120"/>
              <w:rPr>
                <w:sz w:val="16"/>
                <w:szCs w:val="16"/>
              </w:rPr>
            </w:pPr>
            <w:r>
              <w:rPr>
                <w:sz w:val="16"/>
                <w:szCs w:val="16"/>
              </w:rPr>
              <w:t>46</w:t>
            </w:r>
          </w:p>
        </w:tc>
      </w:tr>
    </w:tbl>
    <w:p w:rsidR="00E139A3" w:rsidRDefault="00E139A3" w:rsidP="00E139A3">
      <w:pPr>
        <w:spacing w:after="120" w:line="240" w:lineRule="auto"/>
      </w:pPr>
    </w:p>
    <w:p w:rsidR="00E139A3" w:rsidRDefault="00E139A3" w:rsidP="00E139A3">
      <w:pPr>
        <w:spacing w:after="120" w:line="240" w:lineRule="auto"/>
      </w:pPr>
    </w:p>
    <w:p w:rsidR="00E139A3" w:rsidRDefault="00E139A3" w:rsidP="00E139A3">
      <w:pPr>
        <w:spacing w:after="120" w:line="240" w:lineRule="auto"/>
      </w:pPr>
    </w:p>
    <w:p w:rsidR="00E139A3" w:rsidRDefault="00E139A3" w:rsidP="00E139A3">
      <w:pPr>
        <w:spacing w:after="120" w:line="240" w:lineRule="auto"/>
      </w:pPr>
    </w:p>
    <w:p w:rsidR="00E139A3" w:rsidRDefault="00E139A3" w:rsidP="00E139A3">
      <w:pPr>
        <w:spacing w:after="120" w:line="240" w:lineRule="auto"/>
      </w:pPr>
    </w:p>
    <w:p w:rsidR="00E139A3" w:rsidRDefault="00E139A3" w:rsidP="00E139A3">
      <w:pPr>
        <w:spacing w:after="120" w:line="240" w:lineRule="auto"/>
      </w:pPr>
    </w:p>
    <w:p w:rsidR="00E139A3" w:rsidRDefault="00E139A3" w:rsidP="00E139A3">
      <w:pPr>
        <w:spacing w:after="120" w:line="240" w:lineRule="auto"/>
      </w:pPr>
    </w:p>
    <w:p w:rsidR="00D50C36" w:rsidRDefault="00D50C36" w:rsidP="00E139A3">
      <w:pPr>
        <w:spacing w:after="120" w:line="240" w:lineRule="auto"/>
      </w:pPr>
    </w:p>
    <w:p w:rsidR="00D50C36" w:rsidRDefault="00D50C36" w:rsidP="00D118CA">
      <w:pPr>
        <w:pStyle w:val="ListParagraph"/>
        <w:numPr>
          <w:ilvl w:val="0"/>
          <w:numId w:val="4"/>
        </w:numPr>
        <w:autoSpaceDE w:val="0"/>
        <w:autoSpaceDN w:val="0"/>
        <w:adjustRightInd w:val="0"/>
        <w:spacing w:after="0" w:line="240" w:lineRule="auto"/>
        <w:rPr>
          <w:rFonts w:cs="TimesNewRomanPSMT"/>
        </w:rPr>
      </w:pPr>
      <w:r w:rsidRPr="00D118CA">
        <w:rPr>
          <w:rFonts w:cs="TimesNewRomanPSMT"/>
        </w:rPr>
        <w:t>Biodiesel still represents a small share of the total biofuel</w:t>
      </w:r>
      <w:r w:rsidR="00D118CA" w:rsidRPr="00D118CA">
        <w:rPr>
          <w:rFonts w:cs="TimesNewRomanPSMT"/>
        </w:rPr>
        <w:t xml:space="preserve">s </w:t>
      </w:r>
      <w:r w:rsidRPr="00D118CA">
        <w:rPr>
          <w:rFonts w:cs="TimesNewRomanPSMT"/>
        </w:rPr>
        <w:t>market, but biodiesel production is expected to grow quickly, as demand is expected to grow at a</w:t>
      </w:r>
      <w:r w:rsidR="00D118CA" w:rsidRPr="00D118CA">
        <w:rPr>
          <w:rFonts w:cs="TimesNewRomanPSMT"/>
        </w:rPr>
        <w:t xml:space="preserve"> </w:t>
      </w:r>
      <w:r w:rsidRPr="00D118CA">
        <w:rPr>
          <w:rFonts w:cs="TimesNewRomanPSMT"/>
        </w:rPr>
        <w:t>faster rate than demand for ethanol</w:t>
      </w:r>
      <w:r w:rsidR="00D118CA">
        <w:rPr>
          <w:rFonts w:cs="TimesNewRomanPSMT"/>
        </w:rPr>
        <w:t xml:space="preserve"> (BM&amp;CS)</w:t>
      </w:r>
    </w:p>
    <w:p w:rsidR="00F84FD2" w:rsidRPr="00F84FD2" w:rsidRDefault="00F84FD2" w:rsidP="00F84FD2">
      <w:pPr>
        <w:pStyle w:val="ListParagraph"/>
        <w:numPr>
          <w:ilvl w:val="0"/>
          <w:numId w:val="4"/>
        </w:numPr>
        <w:spacing w:before="157" w:after="157" w:line="240" w:lineRule="auto"/>
        <w:rPr>
          <w:rFonts w:ascii="Arial" w:eastAsia="Times New Roman" w:hAnsi="Arial" w:cs="Arial"/>
          <w:sz w:val="20"/>
          <w:szCs w:val="20"/>
        </w:rPr>
      </w:pPr>
      <w:r w:rsidRPr="00F84FD2">
        <w:rPr>
          <w:rFonts w:eastAsia="Times New Roman" w:cs="Arial"/>
        </w:rPr>
        <w:t>Although Europe currently represents 90% of global biodiesel consumption and production, the United States is now ramping up production at a faster rate than Europe, and Brazil is expected to surpass U.S. and European biodiesel production by 2015. It is possible that biodiesel could represent as much as 20% of all on-road diesel used in Brazil, Europe, China, and India by 2020</w:t>
      </w:r>
      <w:r w:rsidRPr="00F84FD2">
        <w:rPr>
          <w:rFonts w:ascii="Arial" w:eastAsia="Times New Roman" w:hAnsi="Arial" w:cs="Arial"/>
          <w:sz w:val="20"/>
          <w:szCs w:val="20"/>
        </w:rPr>
        <w:t>.</w:t>
      </w:r>
      <w:r>
        <w:rPr>
          <w:rFonts w:ascii="Arial" w:eastAsia="Times New Roman" w:hAnsi="Arial" w:cs="Arial"/>
          <w:sz w:val="20"/>
          <w:szCs w:val="20"/>
        </w:rPr>
        <w:t xml:space="preserve"> (</w:t>
      </w:r>
      <w:r w:rsidRPr="00F84FD2">
        <w:rPr>
          <w:rFonts w:ascii="Arial" w:eastAsia="Times New Roman" w:hAnsi="Arial" w:cs="Arial"/>
          <w:sz w:val="20"/>
          <w:szCs w:val="20"/>
        </w:rPr>
        <w:t xml:space="preserve"> </w:t>
      </w:r>
    </w:p>
    <w:p w:rsidR="00F84FD2" w:rsidRPr="005A2341" w:rsidRDefault="005A2341" w:rsidP="005A2341">
      <w:pPr>
        <w:pStyle w:val="ListParagraph"/>
        <w:numPr>
          <w:ilvl w:val="0"/>
          <w:numId w:val="4"/>
        </w:numPr>
        <w:spacing w:before="157" w:after="157" w:line="240" w:lineRule="auto"/>
        <w:rPr>
          <w:rFonts w:eastAsia="Times New Roman" w:cs="Arial"/>
        </w:rPr>
      </w:pPr>
      <w:r w:rsidRPr="005A2341">
        <w:rPr>
          <w:rFonts w:eastAsia="Times New Roman" w:cs="Arial"/>
        </w:rPr>
        <w:t xml:space="preserve">By 2015, as energy demands for soybean, canola, and jatropha oil surpass the available land to plant these energy-rich crops, alternative feedstocks such as palm oil and algae-based biodiesel will help to meet growing demands. The U.S. National Renewable Energy Lab forecasts that soybean and canola-based biodiesel will only be able to supply 10% of the total market for </w:t>
      </w:r>
      <w:r w:rsidRPr="005A2341">
        <w:rPr>
          <w:rFonts w:eastAsia="Times New Roman" w:cs="Arial"/>
        </w:rPr>
        <w:lastRenderedPageBreak/>
        <w:t xml:space="preserve">energy needs in the United States. However, new feedstocks such as algae-based biodiesel will go into mass production in the United States and could provide 30% or more of all transportation energy needs from biodiesel by 2020. Algae is one of the most promising alternative biodiesel feedstocks and could produce more than 10 times more oil per acre than soybeans or canola. </w:t>
      </w:r>
      <w:r>
        <w:rPr>
          <w:rFonts w:eastAsia="Times New Roman" w:cs="Arial"/>
        </w:rPr>
        <w:t>(BFF)</w:t>
      </w:r>
    </w:p>
    <w:p w:rsidR="00276E9F" w:rsidRPr="00276E9F" w:rsidRDefault="00276E9F" w:rsidP="00276E9F">
      <w:pPr>
        <w:pStyle w:val="ListParagraph"/>
        <w:numPr>
          <w:ilvl w:val="0"/>
          <w:numId w:val="2"/>
        </w:numPr>
        <w:spacing w:after="120" w:line="240" w:lineRule="auto"/>
      </w:pPr>
      <w:r>
        <w:rPr>
          <w:u w:val="single"/>
        </w:rPr>
        <w:t>Major Market Segments</w:t>
      </w:r>
    </w:p>
    <w:p w:rsidR="00276E9F" w:rsidRDefault="00276E9F" w:rsidP="00276E9F">
      <w:pPr>
        <w:pStyle w:val="ListParagraph"/>
        <w:numPr>
          <w:ilvl w:val="1"/>
          <w:numId w:val="2"/>
        </w:numPr>
        <w:spacing w:after="120" w:line="240" w:lineRule="auto"/>
      </w:pPr>
      <w:r>
        <w:t>Geographic</w:t>
      </w:r>
    </w:p>
    <w:p w:rsidR="00276E9F" w:rsidRDefault="00276E9F" w:rsidP="00276E9F">
      <w:pPr>
        <w:pStyle w:val="ListParagraph"/>
        <w:numPr>
          <w:ilvl w:val="1"/>
          <w:numId w:val="2"/>
        </w:numPr>
        <w:spacing w:after="120" w:line="240" w:lineRule="auto"/>
      </w:pPr>
      <w:r>
        <w:t>End-user Demographics</w:t>
      </w:r>
    </w:p>
    <w:p w:rsidR="00FD7F2F" w:rsidRPr="00276E9F" w:rsidRDefault="00FD7F2F" w:rsidP="00FD7F2F">
      <w:pPr>
        <w:spacing w:after="120" w:line="240" w:lineRule="auto"/>
      </w:pPr>
    </w:p>
    <w:p w:rsidR="00276E9F" w:rsidRDefault="00276E9F" w:rsidP="00276E9F">
      <w:pPr>
        <w:jc w:val="center"/>
        <w:rPr>
          <w:b/>
        </w:rPr>
      </w:pPr>
    </w:p>
    <w:p w:rsidR="002E1469" w:rsidRPr="00276E9F" w:rsidRDefault="002E1469" w:rsidP="00276E9F">
      <w:pPr>
        <w:jc w:val="center"/>
        <w:rPr>
          <w:b/>
        </w:rPr>
      </w:pPr>
    </w:p>
    <w:sectPr w:rsidR="002E1469" w:rsidRPr="00276E9F" w:rsidSect="005B6B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A3746"/>
    <w:multiLevelType w:val="hybridMultilevel"/>
    <w:tmpl w:val="320071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4990288"/>
    <w:multiLevelType w:val="hybridMultilevel"/>
    <w:tmpl w:val="73ACEC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19051A"/>
    <w:multiLevelType w:val="hybridMultilevel"/>
    <w:tmpl w:val="EE164E5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63987B0C"/>
    <w:multiLevelType w:val="hybridMultilevel"/>
    <w:tmpl w:val="A776D6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compat/>
  <w:rsids>
    <w:rsidRoot w:val="00276E9F"/>
    <w:rsid w:val="00101A5D"/>
    <w:rsid w:val="00152B2B"/>
    <w:rsid w:val="00157A0E"/>
    <w:rsid w:val="0027574B"/>
    <w:rsid w:val="00276E9F"/>
    <w:rsid w:val="002E1469"/>
    <w:rsid w:val="00316F9F"/>
    <w:rsid w:val="00321F1D"/>
    <w:rsid w:val="003276F0"/>
    <w:rsid w:val="003A1BF6"/>
    <w:rsid w:val="003A4B59"/>
    <w:rsid w:val="003A7621"/>
    <w:rsid w:val="003C71ED"/>
    <w:rsid w:val="004403A7"/>
    <w:rsid w:val="00472B76"/>
    <w:rsid w:val="00484034"/>
    <w:rsid w:val="004E1631"/>
    <w:rsid w:val="00534DE4"/>
    <w:rsid w:val="00535474"/>
    <w:rsid w:val="005A2341"/>
    <w:rsid w:val="005A663C"/>
    <w:rsid w:val="005B6BCE"/>
    <w:rsid w:val="00670586"/>
    <w:rsid w:val="006C1C4C"/>
    <w:rsid w:val="009E4BBC"/>
    <w:rsid w:val="00A8012C"/>
    <w:rsid w:val="00B97327"/>
    <w:rsid w:val="00C740A0"/>
    <w:rsid w:val="00CD1AC7"/>
    <w:rsid w:val="00CE2698"/>
    <w:rsid w:val="00D118CA"/>
    <w:rsid w:val="00D4383C"/>
    <w:rsid w:val="00D50C36"/>
    <w:rsid w:val="00D70F3F"/>
    <w:rsid w:val="00E139A3"/>
    <w:rsid w:val="00E57703"/>
    <w:rsid w:val="00ED3B57"/>
    <w:rsid w:val="00F23BCB"/>
    <w:rsid w:val="00F84FD2"/>
    <w:rsid w:val="00F875DD"/>
    <w:rsid w:val="00F93EEE"/>
    <w:rsid w:val="00FD7F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B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E9F"/>
    <w:pPr>
      <w:ind w:left="720"/>
      <w:contextualSpacing/>
    </w:pPr>
  </w:style>
  <w:style w:type="character" w:styleId="Hyperlink">
    <w:name w:val="Hyperlink"/>
    <w:basedOn w:val="DefaultParagraphFont"/>
    <w:uiPriority w:val="99"/>
    <w:semiHidden/>
    <w:unhideWhenUsed/>
    <w:rsid w:val="00F875DD"/>
    <w:rPr>
      <w:color w:val="0082D6"/>
      <w:u w:val="single"/>
    </w:rPr>
  </w:style>
  <w:style w:type="character" w:customStyle="1" w:styleId="bodyfontverd111">
    <w:name w:val="bodyfontverd111"/>
    <w:basedOn w:val="DefaultParagraphFont"/>
    <w:rsid w:val="00F875DD"/>
    <w:rPr>
      <w:rFonts w:ascii="Verdana" w:hAnsi="Verdana" w:hint="default"/>
      <w:sz w:val="19"/>
      <w:szCs w:val="19"/>
    </w:rPr>
  </w:style>
  <w:style w:type="paragraph" w:customStyle="1" w:styleId="Default">
    <w:name w:val="Default"/>
    <w:rsid w:val="003276F0"/>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2E1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469"/>
    <w:rPr>
      <w:rFonts w:ascii="Tahoma" w:hAnsi="Tahoma" w:cs="Tahoma"/>
      <w:sz w:val="16"/>
      <w:szCs w:val="16"/>
    </w:rPr>
  </w:style>
  <w:style w:type="table" w:styleId="TableGrid">
    <w:name w:val="Table Grid"/>
    <w:basedOn w:val="TableNormal"/>
    <w:uiPriority w:val="59"/>
    <w:rsid w:val="00FD7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5475806">
      <w:bodyDiv w:val="1"/>
      <w:marLeft w:val="0"/>
      <w:marRight w:val="0"/>
      <w:marTop w:val="0"/>
      <w:marBottom w:val="0"/>
      <w:divBdr>
        <w:top w:val="none" w:sz="0" w:space="0" w:color="auto"/>
        <w:left w:val="none" w:sz="0" w:space="0" w:color="auto"/>
        <w:bottom w:val="none" w:sz="0" w:space="0" w:color="auto"/>
        <w:right w:val="none" w:sz="0" w:space="0" w:color="auto"/>
      </w:divBdr>
      <w:divsChild>
        <w:div w:id="16004434">
          <w:marLeft w:val="0"/>
          <w:marRight w:val="0"/>
          <w:marTop w:val="0"/>
          <w:marBottom w:val="0"/>
          <w:divBdr>
            <w:top w:val="none" w:sz="0" w:space="0" w:color="auto"/>
            <w:left w:val="single" w:sz="6" w:space="0" w:color="CCCCCC"/>
            <w:bottom w:val="none" w:sz="0" w:space="0" w:color="auto"/>
            <w:right w:val="single" w:sz="6" w:space="0" w:color="CCCCCC"/>
          </w:divBdr>
          <w:divsChild>
            <w:div w:id="441608323">
              <w:marLeft w:val="0"/>
              <w:marRight w:val="0"/>
              <w:marTop w:val="0"/>
              <w:marBottom w:val="0"/>
              <w:divBdr>
                <w:top w:val="none" w:sz="0" w:space="0" w:color="auto"/>
                <w:left w:val="none" w:sz="0" w:space="0" w:color="auto"/>
                <w:bottom w:val="none" w:sz="0" w:space="0" w:color="auto"/>
                <w:right w:val="none" w:sz="0" w:space="0" w:color="auto"/>
              </w:divBdr>
              <w:divsChild>
                <w:div w:id="1088697618">
                  <w:marLeft w:val="0"/>
                  <w:marRight w:val="0"/>
                  <w:marTop w:val="0"/>
                  <w:marBottom w:val="0"/>
                  <w:divBdr>
                    <w:top w:val="none" w:sz="0" w:space="0" w:color="auto"/>
                    <w:left w:val="none" w:sz="0" w:space="0" w:color="auto"/>
                    <w:bottom w:val="none" w:sz="0" w:space="0" w:color="auto"/>
                    <w:right w:val="none" w:sz="0" w:space="0" w:color="auto"/>
                  </w:divBdr>
                  <w:divsChild>
                    <w:div w:id="2063484551">
                      <w:marLeft w:val="0"/>
                      <w:marRight w:val="0"/>
                      <w:marTop w:val="0"/>
                      <w:marBottom w:val="0"/>
                      <w:divBdr>
                        <w:top w:val="none" w:sz="0" w:space="0" w:color="auto"/>
                        <w:left w:val="none" w:sz="0" w:space="0" w:color="auto"/>
                        <w:bottom w:val="none" w:sz="0" w:space="0" w:color="auto"/>
                        <w:right w:val="none" w:sz="0" w:space="0" w:color="auto"/>
                      </w:divBdr>
                      <w:divsChild>
                        <w:div w:id="885483607">
                          <w:marLeft w:val="235"/>
                          <w:marRight w:val="5087"/>
                          <w:marTop w:val="0"/>
                          <w:marBottom w:val="0"/>
                          <w:divBdr>
                            <w:top w:val="none" w:sz="0" w:space="0" w:color="auto"/>
                            <w:left w:val="none" w:sz="0" w:space="0" w:color="auto"/>
                            <w:bottom w:val="none" w:sz="0" w:space="0" w:color="auto"/>
                            <w:right w:val="none" w:sz="0" w:space="0" w:color="auto"/>
                          </w:divBdr>
                          <w:divsChild>
                            <w:div w:id="77024022">
                              <w:marLeft w:val="0"/>
                              <w:marRight w:val="0"/>
                              <w:marTop w:val="0"/>
                              <w:marBottom w:val="0"/>
                              <w:divBdr>
                                <w:top w:val="none" w:sz="0" w:space="0" w:color="auto"/>
                                <w:left w:val="none" w:sz="0" w:space="0" w:color="auto"/>
                                <w:bottom w:val="none" w:sz="0" w:space="0" w:color="auto"/>
                                <w:right w:val="none" w:sz="0" w:space="0" w:color="auto"/>
                              </w:divBdr>
                              <w:divsChild>
                                <w:div w:id="1461531061">
                                  <w:marLeft w:val="0"/>
                                  <w:marRight w:val="0"/>
                                  <w:marTop w:val="0"/>
                                  <w:marBottom w:val="0"/>
                                  <w:divBdr>
                                    <w:top w:val="none" w:sz="0" w:space="0" w:color="auto"/>
                                    <w:left w:val="none" w:sz="0" w:space="0" w:color="auto"/>
                                    <w:bottom w:val="none" w:sz="0" w:space="0" w:color="auto"/>
                                    <w:right w:val="none" w:sz="0" w:space="0" w:color="auto"/>
                                  </w:divBdr>
                                  <w:divsChild>
                                    <w:div w:id="74474211">
                                      <w:marLeft w:val="0"/>
                                      <w:marRight w:val="0"/>
                                      <w:marTop w:val="157"/>
                                      <w:marBottom w:val="0"/>
                                      <w:divBdr>
                                        <w:top w:val="none" w:sz="0" w:space="0" w:color="auto"/>
                                        <w:left w:val="none" w:sz="0" w:space="0" w:color="auto"/>
                                        <w:bottom w:val="none" w:sz="0" w:space="0" w:color="auto"/>
                                        <w:right w:val="none" w:sz="0" w:space="0" w:color="auto"/>
                                      </w:divBdr>
                                      <w:divsChild>
                                        <w:div w:id="939793944">
                                          <w:marLeft w:val="0"/>
                                          <w:marRight w:val="0"/>
                                          <w:marTop w:val="0"/>
                                          <w:marBottom w:val="0"/>
                                          <w:divBdr>
                                            <w:top w:val="none" w:sz="0" w:space="0" w:color="auto"/>
                                            <w:left w:val="none" w:sz="0" w:space="0" w:color="auto"/>
                                            <w:bottom w:val="none" w:sz="0" w:space="0" w:color="auto"/>
                                            <w:right w:val="none" w:sz="0" w:space="0" w:color="auto"/>
                                          </w:divBdr>
                                          <w:divsChild>
                                            <w:div w:id="109963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0006535">
      <w:bodyDiv w:val="1"/>
      <w:marLeft w:val="0"/>
      <w:marRight w:val="0"/>
      <w:marTop w:val="0"/>
      <w:marBottom w:val="0"/>
      <w:divBdr>
        <w:top w:val="none" w:sz="0" w:space="0" w:color="auto"/>
        <w:left w:val="none" w:sz="0" w:space="0" w:color="auto"/>
        <w:bottom w:val="none" w:sz="0" w:space="0" w:color="auto"/>
        <w:right w:val="none" w:sz="0" w:space="0" w:color="auto"/>
      </w:divBdr>
      <w:divsChild>
        <w:div w:id="280380902">
          <w:marLeft w:val="0"/>
          <w:marRight w:val="0"/>
          <w:marTop w:val="0"/>
          <w:marBottom w:val="0"/>
          <w:divBdr>
            <w:top w:val="none" w:sz="0" w:space="0" w:color="auto"/>
            <w:left w:val="single" w:sz="6" w:space="0" w:color="CCCCCC"/>
            <w:bottom w:val="none" w:sz="0" w:space="0" w:color="auto"/>
            <w:right w:val="single" w:sz="6" w:space="0" w:color="CCCCCC"/>
          </w:divBdr>
          <w:divsChild>
            <w:div w:id="115876433">
              <w:marLeft w:val="0"/>
              <w:marRight w:val="0"/>
              <w:marTop w:val="0"/>
              <w:marBottom w:val="0"/>
              <w:divBdr>
                <w:top w:val="none" w:sz="0" w:space="0" w:color="auto"/>
                <w:left w:val="none" w:sz="0" w:space="0" w:color="auto"/>
                <w:bottom w:val="none" w:sz="0" w:space="0" w:color="auto"/>
                <w:right w:val="none" w:sz="0" w:space="0" w:color="auto"/>
              </w:divBdr>
              <w:divsChild>
                <w:div w:id="2024670615">
                  <w:marLeft w:val="0"/>
                  <w:marRight w:val="0"/>
                  <w:marTop w:val="0"/>
                  <w:marBottom w:val="0"/>
                  <w:divBdr>
                    <w:top w:val="none" w:sz="0" w:space="0" w:color="auto"/>
                    <w:left w:val="none" w:sz="0" w:space="0" w:color="auto"/>
                    <w:bottom w:val="none" w:sz="0" w:space="0" w:color="auto"/>
                    <w:right w:val="none" w:sz="0" w:space="0" w:color="auto"/>
                  </w:divBdr>
                  <w:divsChild>
                    <w:div w:id="108354199">
                      <w:marLeft w:val="0"/>
                      <w:marRight w:val="0"/>
                      <w:marTop w:val="0"/>
                      <w:marBottom w:val="0"/>
                      <w:divBdr>
                        <w:top w:val="none" w:sz="0" w:space="0" w:color="auto"/>
                        <w:left w:val="none" w:sz="0" w:space="0" w:color="auto"/>
                        <w:bottom w:val="none" w:sz="0" w:space="0" w:color="auto"/>
                        <w:right w:val="none" w:sz="0" w:space="0" w:color="auto"/>
                      </w:divBdr>
                      <w:divsChild>
                        <w:div w:id="456877880">
                          <w:marLeft w:val="235"/>
                          <w:marRight w:val="5087"/>
                          <w:marTop w:val="0"/>
                          <w:marBottom w:val="0"/>
                          <w:divBdr>
                            <w:top w:val="none" w:sz="0" w:space="0" w:color="auto"/>
                            <w:left w:val="none" w:sz="0" w:space="0" w:color="auto"/>
                            <w:bottom w:val="none" w:sz="0" w:space="0" w:color="auto"/>
                            <w:right w:val="none" w:sz="0" w:space="0" w:color="auto"/>
                          </w:divBdr>
                          <w:divsChild>
                            <w:div w:id="1019816970">
                              <w:marLeft w:val="0"/>
                              <w:marRight w:val="0"/>
                              <w:marTop w:val="0"/>
                              <w:marBottom w:val="0"/>
                              <w:divBdr>
                                <w:top w:val="none" w:sz="0" w:space="0" w:color="auto"/>
                                <w:left w:val="none" w:sz="0" w:space="0" w:color="auto"/>
                                <w:bottom w:val="none" w:sz="0" w:space="0" w:color="auto"/>
                                <w:right w:val="none" w:sz="0" w:space="0" w:color="auto"/>
                              </w:divBdr>
                              <w:divsChild>
                                <w:div w:id="1222785767">
                                  <w:marLeft w:val="0"/>
                                  <w:marRight w:val="0"/>
                                  <w:marTop w:val="0"/>
                                  <w:marBottom w:val="0"/>
                                  <w:divBdr>
                                    <w:top w:val="none" w:sz="0" w:space="0" w:color="auto"/>
                                    <w:left w:val="none" w:sz="0" w:space="0" w:color="auto"/>
                                    <w:bottom w:val="none" w:sz="0" w:space="0" w:color="auto"/>
                                    <w:right w:val="none" w:sz="0" w:space="0" w:color="auto"/>
                                  </w:divBdr>
                                  <w:divsChild>
                                    <w:div w:id="1199395040">
                                      <w:marLeft w:val="0"/>
                                      <w:marRight w:val="0"/>
                                      <w:marTop w:val="157"/>
                                      <w:marBottom w:val="0"/>
                                      <w:divBdr>
                                        <w:top w:val="none" w:sz="0" w:space="0" w:color="auto"/>
                                        <w:left w:val="none" w:sz="0" w:space="0" w:color="auto"/>
                                        <w:bottom w:val="none" w:sz="0" w:space="0" w:color="auto"/>
                                        <w:right w:val="none" w:sz="0" w:space="0" w:color="auto"/>
                                      </w:divBdr>
                                      <w:divsChild>
                                        <w:div w:id="1630939481">
                                          <w:marLeft w:val="0"/>
                                          <w:marRight w:val="0"/>
                                          <w:marTop w:val="0"/>
                                          <w:marBottom w:val="0"/>
                                          <w:divBdr>
                                            <w:top w:val="none" w:sz="0" w:space="0" w:color="auto"/>
                                            <w:left w:val="none" w:sz="0" w:space="0" w:color="auto"/>
                                            <w:bottom w:val="none" w:sz="0" w:space="0" w:color="auto"/>
                                            <w:right w:val="none" w:sz="0" w:space="0" w:color="auto"/>
                                          </w:divBdr>
                                          <w:divsChild>
                                            <w:div w:id="10711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0349751">
      <w:bodyDiv w:val="1"/>
      <w:marLeft w:val="0"/>
      <w:marRight w:val="0"/>
      <w:marTop w:val="0"/>
      <w:marBottom w:val="0"/>
      <w:divBdr>
        <w:top w:val="none" w:sz="0" w:space="0" w:color="auto"/>
        <w:left w:val="none" w:sz="0" w:space="0" w:color="auto"/>
        <w:bottom w:val="none" w:sz="0" w:space="0" w:color="auto"/>
        <w:right w:val="none" w:sz="0" w:space="0" w:color="auto"/>
      </w:divBdr>
      <w:divsChild>
        <w:div w:id="996038316">
          <w:marLeft w:val="0"/>
          <w:marRight w:val="0"/>
          <w:marTop w:val="0"/>
          <w:marBottom w:val="0"/>
          <w:divBdr>
            <w:top w:val="none" w:sz="0" w:space="0" w:color="auto"/>
            <w:left w:val="single" w:sz="6" w:space="0" w:color="CCCCCC"/>
            <w:bottom w:val="none" w:sz="0" w:space="0" w:color="auto"/>
            <w:right w:val="single" w:sz="6" w:space="0" w:color="CCCCCC"/>
          </w:divBdr>
          <w:divsChild>
            <w:div w:id="1949116377">
              <w:marLeft w:val="0"/>
              <w:marRight w:val="0"/>
              <w:marTop w:val="0"/>
              <w:marBottom w:val="0"/>
              <w:divBdr>
                <w:top w:val="none" w:sz="0" w:space="0" w:color="auto"/>
                <w:left w:val="none" w:sz="0" w:space="0" w:color="auto"/>
                <w:bottom w:val="none" w:sz="0" w:space="0" w:color="auto"/>
                <w:right w:val="none" w:sz="0" w:space="0" w:color="auto"/>
              </w:divBdr>
              <w:divsChild>
                <w:div w:id="1894610328">
                  <w:marLeft w:val="0"/>
                  <w:marRight w:val="0"/>
                  <w:marTop w:val="0"/>
                  <w:marBottom w:val="0"/>
                  <w:divBdr>
                    <w:top w:val="none" w:sz="0" w:space="0" w:color="auto"/>
                    <w:left w:val="none" w:sz="0" w:space="0" w:color="auto"/>
                    <w:bottom w:val="none" w:sz="0" w:space="0" w:color="auto"/>
                    <w:right w:val="none" w:sz="0" w:space="0" w:color="auto"/>
                  </w:divBdr>
                  <w:divsChild>
                    <w:div w:id="131366210">
                      <w:marLeft w:val="0"/>
                      <w:marRight w:val="0"/>
                      <w:marTop w:val="0"/>
                      <w:marBottom w:val="0"/>
                      <w:divBdr>
                        <w:top w:val="none" w:sz="0" w:space="0" w:color="auto"/>
                        <w:left w:val="none" w:sz="0" w:space="0" w:color="auto"/>
                        <w:bottom w:val="none" w:sz="0" w:space="0" w:color="auto"/>
                        <w:right w:val="none" w:sz="0" w:space="0" w:color="auto"/>
                      </w:divBdr>
                      <w:divsChild>
                        <w:div w:id="741875197">
                          <w:marLeft w:val="235"/>
                          <w:marRight w:val="5087"/>
                          <w:marTop w:val="0"/>
                          <w:marBottom w:val="0"/>
                          <w:divBdr>
                            <w:top w:val="none" w:sz="0" w:space="0" w:color="auto"/>
                            <w:left w:val="none" w:sz="0" w:space="0" w:color="auto"/>
                            <w:bottom w:val="none" w:sz="0" w:space="0" w:color="auto"/>
                            <w:right w:val="none" w:sz="0" w:space="0" w:color="auto"/>
                          </w:divBdr>
                          <w:divsChild>
                            <w:div w:id="1592816849">
                              <w:marLeft w:val="0"/>
                              <w:marRight w:val="0"/>
                              <w:marTop w:val="0"/>
                              <w:marBottom w:val="0"/>
                              <w:divBdr>
                                <w:top w:val="none" w:sz="0" w:space="0" w:color="auto"/>
                                <w:left w:val="none" w:sz="0" w:space="0" w:color="auto"/>
                                <w:bottom w:val="none" w:sz="0" w:space="0" w:color="auto"/>
                                <w:right w:val="none" w:sz="0" w:space="0" w:color="auto"/>
                              </w:divBdr>
                              <w:divsChild>
                                <w:div w:id="1638024302">
                                  <w:marLeft w:val="0"/>
                                  <w:marRight w:val="0"/>
                                  <w:marTop w:val="0"/>
                                  <w:marBottom w:val="0"/>
                                  <w:divBdr>
                                    <w:top w:val="none" w:sz="0" w:space="0" w:color="auto"/>
                                    <w:left w:val="none" w:sz="0" w:space="0" w:color="auto"/>
                                    <w:bottom w:val="none" w:sz="0" w:space="0" w:color="auto"/>
                                    <w:right w:val="none" w:sz="0" w:space="0" w:color="auto"/>
                                  </w:divBdr>
                                  <w:divsChild>
                                    <w:div w:id="1886942983">
                                      <w:marLeft w:val="0"/>
                                      <w:marRight w:val="0"/>
                                      <w:marTop w:val="157"/>
                                      <w:marBottom w:val="0"/>
                                      <w:divBdr>
                                        <w:top w:val="none" w:sz="0" w:space="0" w:color="auto"/>
                                        <w:left w:val="none" w:sz="0" w:space="0" w:color="auto"/>
                                        <w:bottom w:val="none" w:sz="0" w:space="0" w:color="auto"/>
                                        <w:right w:val="none" w:sz="0" w:space="0" w:color="auto"/>
                                      </w:divBdr>
                                      <w:divsChild>
                                        <w:div w:id="1635405038">
                                          <w:marLeft w:val="0"/>
                                          <w:marRight w:val="0"/>
                                          <w:marTop w:val="0"/>
                                          <w:marBottom w:val="0"/>
                                          <w:divBdr>
                                            <w:top w:val="none" w:sz="0" w:space="0" w:color="auto"/>
                                            <w:left w:val="none" w:sz="0" w:space="0" w:color="auto"/>
                                            <w:bottom w:val="none" w:sz="0" w:space="0" w:color="auto"/>
                                            <w:right w:val="none" w:sz="0" w:space="0" w:color="auto"/>
                                          </w:divBdr>
                                          <w:divsChild>
                                            <w:div w:id="150794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9071395">
      <w:bodyDiv w:val="1"/>
      <w:marLeft w:val="0"/>
      <w:marRight w:val="0"/>
      <w:marTop w:val="0"/>
      <w:marBottom w:val="0"/>
      <w:divBdr>
        <w:top w:val="none" w:sz="0" w:space="0" w:color="auto"/>
        <w:left w:val="none" w:sz="0" w:space="0" w:color="auto"/>
        <w:bottom w:val="none" w:sz="0" w:space="0" w:color="auto"/>
        <w:right w:val="none" w:sz="0" w:space="0" w:color="auto"/>
      </w:divBdr>
      <w:divsChild>
        <w:div w:id="897784908">
          <w:marLeft w:val="0"/>
          <w:marRight w:val="0"/>
          <w:marTop w:val="0"/>
          <w:marBottom w:val="0"/>
          <w:divBdr>
            <w:top w:val="none" w:sz="0" w:space="0" w:color="auto"/>
            <w:left w:val="single" w:sz="6" w:space="0" w:color="CCCCCC"/>
            <w:bottom w:val="none" w:sz="0" w:space="0" w:color="auto"/>
            <w:right w:val="single" w:sz="6" w:space="0" w:color="CCCCCC"/>
          </w:divBdr>
          <w:divsChild>
            <w:div w:id="934172192">
              <w:marLeft w:val="0"/>
              <w:marRight w:val="0"/>
              <w:marTop w:val="0"/>
              <w:marBottom w:val="0"/>
              <w:divBdr>
                <w:top w:val="none" w:sz="0" w:space="0" w:color="auto"/>
                <w:left w:val="none" w:sz="0" w:space="0" w:color="auto"/>
                <w:bottom w:val="none" w:sz="0" w:space="0" w:color="auto"/>
                <w:right w:val="none" w:sz="0" w:space="0" w:color="auto"/>
              </w:divBdr>
              <w:divsChild>
                <w:div w:id="316569313">
                  <w:marLeft w:val="0"/>
                  <w:marRight w:val="0"/>
                  <w:marTop w:val="0"/>
                  <w:marBottom w:val="0"/>
                  <w:divBdr>
                    <w:top w:val="none" w:sz="0" w:space="0" w:color="auto"/>
                    <w:left w:val="none" w:sz="0" w:space="0" w:color="auto"/>
                    <w:bottom w:val="none" w:sz="0" w:space="0" w:color="auto"/>
                    <w:right w:val="none" w:sz="0" w:space="0" w:color="auto"/>
                  </w:divBdr>
                  <w:divsChild>
                    <w:div w:id="1535577176">
                      <w:marLeft w:val="0"/>
                      <w:marRight w:val="0"/>
                      <w:marTop w:val="0"/>
                      <w:marBottom w:val="0"/>
                      <w:divBdr>
                        <w:top w:val="none" w:sz="0" w:space="0" w:color="auto"/>
                        <w:left w:val="none" w:sz="0" w:space="0" w:color="auto"/>
                        <w:bottom w:val="none" w:sz="0" w:space="0" w:color="auto"/>
                        <w:right w:val="none" w:sz="0" w:space="0" w:color="auto"/>
                      </w:divBdr>
                      <w:divsChild>
                        <w:div w:id="713775486">
                          <w:marLeft w:val="235"/>
                          <w:marRight w:val="5087"/>
                          <w:marTop w:val="0"/>
                          <w:marBottom w:val="0"/>
                          <w:divBdr>
                            <w:top w:val="none" w:sz="0" w:space="0" w:color="auto"/>
                            <w:left w:val="none" w:sz="0" w:space="0" w:color="auto"/>
                            <w:bottom w:val="none" w:sz="0" w:space="0" w:color="auto"/>
                            <w:right w:val="none" w:sz="0" w:space="0" w:color="auto"/>
                          </w:divBdr>
                          <w:divsChild>
                            <w:div w:id="1595936146">
                              <w:marLeft w:val="0"/>
                              <w:marRight w:val="0"/>
                              <w:marTop w:val="0"/>
                              <w:marBottom w:val="0"/>
                              <w:divBdr>
                                <w:top w:val="none" w:sz="0" w:space="0" w:color="auto"/>
                                <w:left w:val="none" w:sz="0" w:space="0" w:color="auto"/>
                                <w:bottom w:val="none" w:sz="0" w:space="0" w:color="auto"/>
                                <w:right w:val="none" w:sz="0" w:space="0" w:color="auto"/>
                              </w:divBdr>
                              <w:divsChild>
                                <w:div w:id="2133743207">
                                  <w:marLeft w:val="0"/>
                                  <w:marRight w:val="0"/>
                                  <w:marTop w:val="0"/>
                                  <w:marBottom w:val="0"/>
                                  <w:divBdr>
                                    <w:top w:val="none" w:sz="0" w:space="0" w:color="auto"/>
                                    <w:left w:val="none" w:sz="0" w:space="0" w:color="auto"/>
                                    <w:bottom w:val="none" w:sz="0" w:space="0" w:color="auto"/>
                                    <w:right w:val="none" w:sz="0" w:space="0" w:color="auto"/>
                                  </w:divBdr>
                                  <w:divsChild>
                                    <w:div w:id="1673558948">
                                      <w:marLeft w:val="0"/>
                                      <w:marRight w:val="0"/>
                                      <w:marTop w:val="157"/>
                                      <w:marBottom w:val="0"/>
                                      <w:divBdr>
                                        <w:top w:val="none" w:sz="0" w:space="0" w:color="auto"/>
                                        <w:left w:val="none" w:sz="0" w:space="0" w:color="auto"/>
                                        <w:bottom w:val="none" w:sz="0" w:space="0" w:color="auto"/>
                                        <w:right w:val="none" w:sz="0" w:space="0" w:color="auto"/>
                                      </w:divBdr>
                                      <w:divsChild>
                                        <w:div w:id="139470710">
                                          <w:marLeft w:val="0"/>
                                          <w:marRight w:val="0"/>
                                          <w:marTop w:val="0"/>
                                          <w:marBottom w:val="0"/>
                                          <w:divBdr>
                                            <w:top w:val="none" w:sz="0" w:space="0" w:color="auto"/>
                                            <w:left w:val="none" w:sz="0" w:space="0" w:color="auto"/>
                                            <w:bottom w:val="none" w:sz="0" w:space="0" w:color="auto"/>
                                            <w:right w:val="none" w:sz="0" w:space="0" w:color="auto"/>
                                          </w:divBdr>
                                          <w:divsChild>
                                            <w:div w:id="16264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5451893">
      <w:bodyDiv w:val="1"/>
      <w:marLeft w:val="0"/>
      <w:marRight w:val="0"/>
      <w:marTop w:val="0"/>
      <w:marBottom w:val="0"/>
      <w:divBdr>
        <w:top w:val="none" w:sz="0" w:space="0" w:color="auto"/>
        <w:left w:val="none" w:sz="0" w:space="0" w:color="auto"/>
        <w:bottom w:val="none" w:sz="0" w:space="0" w:color="auto"/>
        <w:right w:val="none" w:sz="0" w:space="0" w:color="auto"/>
      </w:divBdr>
      <w:divsChild>
        <w:div w:id="1108355390">
          <w:marLeft w:val="0"/>
          <w:marRight w:val="0"/>
          <w:marTop w:val="0"/>
          <w:marBottom w:val="0"/>
          <w:divBdr>
            <w:top w:val="none" w:sz="0" w:space="0" w:color="auto"/>
            <w:left w:val="single" w:sz="6" w:space="0" w:color="CCCCCC"/>
            <w:bottom w:val="none" w:sz="0" w:space="0" w:color="auto"/>
            <w:right w:val="single" w:sz="6" w:space="0" w:color="CCCCCC"/>
          </w:divBdr>
          <w:divsChild>
            <w:div w:id="432631871">
              <w:marLeft w:val="0"/>
              <w:marRight w:val="0"/>
              <w:marTop w:val="0"/>
              <w:marBottom w:val="0"/>
              <w:divBdr>
                <w:top w:val="none" w:sz="0" w:space="0" w:color="auto"/>
                <w:left w:val="none" w:sz="0" w:space="0" w:color="auto"/>
                <w:bottom w:val="none" w:sz="0" w:space="0" w:color="auto"/>
                <w:right w:val="none" w:sz="0" w:space="0" w:color="auto"/>
              </w:divBdr>
              <w:divsChild>
                <w:div w:id="486899168">
                  <w:marLeft w:val="0"/>
                  <w:marRight w:val="0"/>
                  <w:marTop w:val="0"/>
                  <w:marBottom w:val="0"/>
                  <w:divBdr>
                    <w:top w:val="none" w:sz="0" w:space="0" w:color="auto"/>
                    <w:left w:val="none" w:sz="0" w:space="0" w:color="auto"/>
                    <w:bottom w:val="none" w:sz="0" w:space="0" w:color="auto"/>
                    <w:right w:val="none" w:sz="0" w:space="0" w:color="auto"/>
                  </w:divBdr>
                  <w:divsChild>
                    <w:div w:id="1683434613">
                      <w:marLeft w:val="0"/>
                      <w:marRight w:val="0"/>
                      <w:marTop w:val="0"/>
                      <w:marBottom w:val="0"/>
                      <w:divBdr>
                        <w:top w:val="none" w:sz="0" w:space="0" w:color="auto"/>
                        <w:left w:val="none" w:sz="0" w:space="0" w:color="auto"/>
                        <w:bottom w:val="none" w:sz="0" w:space="0" w:color="auto"/>
                        <w:right w:val="none" w:sz="0" w:space="0" w:color="auto"/>
                      </w:divBdr>
                      <w:divsChild>
                        <w:div w:id="433016340">
                          <w:marLeft w:val="235"/>
                          <w:marRight w:val="5087"/>
                          <w:marTop w:val="0"/>
                          <w:marBottom w:val="0"/>
                          <w:divBdr>
                            <w:top w:val="none" w:sz="0" w:space="0" w:color="auto"/>
                            <w:left w:val="none" w:sz="0" w:space="0" w:color="auto"/>
                            <w:bottom w:val="none" w:sz="0" w:space="0" w:color="auto"/>
                            <w:right w:val="none" w:sz="0" w:space="0" w:color="auto"/>
                          </w:divBdr>
                          <w:divsChild>
                            <w:div w:id="2117213387">
                              <w:marLeft w:val="0"/>
                              <w:marRight w:val="0"/>
                              <w:marTop w:val="0"/>
                              <w:marBottom w:val="0"/>
                              <w:divBdr>
                                <w:top w:val="none" w:sz="0" w:space="0" w:color="auto"/>
                                <w:left w:val="none" w:sz="0" w:space="0" w:color="auto"/>
                                <w:bottom w:val="none" w:sz="0" w:space="0" w:color="auto"/>
                                <w:right w:val="none" w:sz="0" w:space="0" w:color="auto"/>
                              </w:divBdr>
                              <w:divsChild>
                                <w:div w:id="1649047714">
                                  <w:marLeft w:val="0"/>
                                  <w:marRight w:val="0"/>
                                  <w:marTop w:val="0"/>
                                  <w:marBottom w:val="0"/>
                                  <w:divBdr>
                                    <w:top w:val="none" w:sz="0" w:space="0" w:color="auto"/>
                                    <w:left w:val="none" w:sz="0" w:space="0" w:color="auto"/>
                                    <w:bottom w:val="none" w:sz="0" w:space="0" w:color="auto"/>
                                    <w:right w:val="none" w:sz="0" w:space="0" w:color="auto"/>
                                  </w:divBdr>
                                  <w:divsChild>
                                    <w:div w:id="1642270427">
                                      <w:marLeft w:val="0"/>
                                      <w:marRight w:val="0"/>
                                      <w:marTop w:val="157"/>
                                      <w:marBottom w:val="0"/>
                                      <w:divBdr>
                                        <w:top w:val="none" w:sz="0" w:space="0" w:color="auto"/>
                                        <w:left w:val="none" w:sz="0" w:space="0" w:color="auto"/>
                                        <w:bottom w:val="none" w:sz="0" w:space="0" w:color="auto"/>
                                        <w:right w:val="none" w:sz="0" w:space="0" w:color="auto"/>
                                      </w:divBdr>
                                      <w:divsChild>
                                        <w:div w:id="851989709">
                                          <w:marLeft w:val="0"/>
                                          <w:marRight w:val="0"/>
                                          <w:marTop w:val="0"/>
                                          <w:marBottom w:val="0"/>
                                          <w:divBdr>
                                            <w:top w:val="none" w:sz="0" w:space="0" w:color="auto"/>
                                            <w:left w:val="none" w:sz="0" w:space="0" w:color="auto"/>
                                            <w:bottom w:val="none" w:sz="0" w:space="0" w:color="auto"/>
                                            <w:right w:val="none" w:sz="0" w:space="0" w:color="auto"/>
                                          </w:divBdr>
                                          <w:divsChild>
                                            <w:div w:id="76088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4540788">
      <w:bodyDiv w:val="1"/>
      <w:marLeft w:val="0"/>
      <w:marRight w:val="0"/>
      <w:marTop w:val="0"/>
      <w:marBottom w:val="0"/>
      <w:divBdr>
        <w:top w:val="none" w:sz="0" w:space="0" w:color="auto"/>
        <w:left w:val="none" w:sz="0" w:space="0" w:color="auto"/>
        <w:bottom w:val="none" w:sz="0" w:space="0" w:color="auto"/>
        <w:right w:val="none" w:sz="0" w:space="0" w:color="auto"/>
      </w:divBdr>
      <w:divsChild>
        <w:div w:id="1044643932">
          <w:marLeft w:val="0"/>
          <w:marRight w:val="0"/>
          <w:marTop w:val="0"/>
          <w:marBottom w:val="0"/>
          <w:divBdr>
            <w:top w:val="none" w:sz="0" w:space="0" w:color="auto"/>
            <w:left w:val="single" w:sz="6" w:space="0" w:color="CCCCCC"/>
            <w:bottom w:val="none" w:sz="0" w:space="0" w:color="auto"/>
            <w:right w:val="single" w:sz="6" w:space="0" w:color="CCCCCC"/>
          </w:divBdr>
          <w:divsChild>
            <w:div w:id="1422485633">
              <w:marLeft w:val="0"/>
              <w:marRight w:val="0"/>
              <w:marTop w:val="0"/>
              <w:marBottom w:val="0"/>
              <w:divBdr>
                <w:top w:val="none" w:sz="0" w:space="0" w:color="auto"/>
                <w:left w:val="none" w:sz="0" w:space="0" w:color="auto"/>
                <w:bottom w:val="none" w:sz="0" w:space="0" w:color="auto"/>
                <w:right w:val="none" w:sz="0" w:space="0" w:color="auto"/>
              </w:divBdr>
              <w:divsChild>
                <w:div w:id="821429531">
                  <w:marLeft w:val="0"/>
                  <w:marRight w:val="0"/>
                  <w:marTop w:val="0"/>
                  <w:marBottom w:val="0"/>
                  <w:divBdr>
                    <w:top w:val="none" w:sz="0" w:space="0" w:color="auto"/>
                    <w:left w:val="none" w:sz="0" w:space="0" w:color="auto"/>
                    <w:bottom w:val="none" w:sz="0" w:space="0" w:color="auto"/>
                    <w:right w:val="none" w:sz="0" w:space="0" w:color="auto"/>
                  </w:divBdr>
                  <w:divsChild>
                    <w:div w:id="1567498397">
                      <w:marLeft w:val="0"/>
                      <w:marRight w:val="0"/>
                      <w:marTop w:val="0"/>
                      <w:marBottom w:val="0"/>
                      <w:divBdr>
                        <w:top w:val="none" w:sz="0" w:space="0" w:color="auto"/>
                        <w:left w:val="none" w:sz="0" w:space="0" w:color="auto"/>
                        <w:bottom w:val="none" w:sz="0" w:space="0" w:color="auto"/>
                        <w:right w:val="none" w:sz="0" w:space="0" w:color="auto"/>
                      </w:divBdr>
                      <w:divsChild>
                        <w:div w:id="201601460">
                          <w:marLeft w:val="235"/>
                          <w:marRight w:val="5087"/>
                          <w:marTop w:val="0"/>
                          <w:marBottom w:val="0"/>
                          <w:divBdr>
                            <w:top w:val="none" w:sz="0" w:space="0" w:color="auto"/>
                            <w:left w:val="none" w:sz="0" w:space="0" w:color="auto"/>
                            <w:bottom w:val="none" w:sz="0" w:space="0" w:color="auto"/>
                            <w:right w:val="none" w:sz="0" w:space="0" w:color="auto"/>
                          </w:divBdr>
                          <w:divsChild>
                            <w:div w:id="337654818">
                              <w:marLeft w:val="0"/>
                              <w:marRight w:val="0"/>
                              <w:marTop w:val="0"/>
                              <w:marBottom w:val="0"/>
                              <w:divBdr>
                                <w:top w:val="none" w:sz="0" w:space="0" w:color="auto"/>
                                <w:left w:val="none" w:sz="0" w:space="0" w:color="auto"/>
                                <w:bottom w:val="none" w:sz="0" w:space="0" w:color="auto"/>
                                <w:right w:val="none" w:sz="0" w:space="0" w:color="auto"/>
                              </w:divBdr>
                              <w:divsChild>
                                <w:div w:id="1114135949">
                                  <w:marLeft w:val="0"/>
                                  <w:marRight w:val="0"/>
                                  <w:marTop w:val="0"/>
                                  <w:marBottom w:val="0"/>
                                  <w:divBdr>
                                    <w:top w:val="none" w:sz="0" w:space="0" w:color="auto"/>
                                    <w:left w:val="none" w:sz="0" w:space="0" w:color="auto"/>
                                    <w:bottom w:val="none" w:sz="0" w:space="0" w:color="auto"/>
                                    <w:right w:val="none" w:sz="0" w:space="0" w:color="auto"/>
                                  </w:divBdr>
                                  <w:divsChild>
                                    <w:div w:id="1159929373">
                                      <w:marLeft w:val="0"/>
                                      <w:marRight w:val="0"/>
                                      <w:marTop w:val="157"/>
                                      <w:marBottom w:val="0"/>
                                      <w:divBdr>
                                        <w:top w:val="none" w:sz="0" w:space="0" w:color="auto"/>
                                        <w:left w:val="none" w:sz="0" w:space="0" w:color="auto"/>
                                        <w:bottom w:val="none" w:sz="0" w:space="0" w:color="auto"/>
                                        <w:right w:val="none" w:sz="0" w:space="0" w:color="auto"/>
                                      </w:divBdr>
                                      <w:divsChild>
                                        <w:div w:id="894124305">
                                          <w:marLeft w:val="0"/>
                                          <w:marRight w:val="0"/>
                                          <w:marTop w:val="0"/>
                                          <w:marBottom w:val="0"/>
                                          <w:divBdr>
                                            <w:top w:val="none" w:sz="0" w:space="0" w:color="auto"/>
                                            <w:left w:val="none" w:sz="0" w:space="0" w:color="auto"/>
                                            <w:bottom w:val="none" w:sz="0" w:space="0" w:color="auto"/>
                                            <w:right w:val="none" w:sz="0" w:space="0" w:color="auto"/>
                                          </w:divBdr>
                                          <w:divsChild>
                                            <w:div w:id="11187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www.biodiesel.org/pdf_files/fuelfactsheets/Productio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2597</TotalTime>
  <Pages>5</Pages>
  <Words>1681</Words>
  <Characters>9585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Christine</cp:lastModifiedBy>
  <cp:revision>28</cp:revision>
  <dcterms:created xsi:type="dcterms:W3CDTF">2010-10-26T22:52:00Z</dcterms:created>
  <dcterms:modified xsi:type="dcterms:W3CDTF">2010-10-29T21:31:00Z</dcterms:modified>
</cp:coreProperties>
</file>